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330FC" w:rsidR="001E7B6C" w:rsidP="006A250E" w:rsidRDefault="008B0657" w14:paraId="5F4D6DE0" w14:textId="5453FF75">
      <w:pPr>
        <w:pStyle w:val="Ingenafstand"/>
        <w:jc w:val="center"/>
        <w:rPr>
          <w:b/>
          <w:sz w:val="52"/>
        </w:rPr>
      </w:pPr>
      <w:r w:rsidRPr="007330FC">
        <w:rPr>
          <w:b/>
          <w:sz w:val="52"/>
          <w:lang w:val="en-GB" w:bidi="en-GB"/>
        </w:rPr>
        <w:t>Grid connection agreement for connection with limited grid access</w:t>
      </w:r>
    </w:p>
    <w:p w:rsidRPr="007330FC" w:rsidR="001E7B6C" w:rsidP="005A1F80" w:rsidRDefault="001E7B6C" w14:paraId="387D0F28" w14:textId="77777777">
      <w:pPr>
        <w:pStyle w:val="Ingenafstand"/>
        <w:jc w:val="center"/>
      </w:pPr>
    </w:p>
    <w:tbl>
      <w:tblPr>
        <w:tblStyle w:val="Tabel-Git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86"/>
        <w:gridCol w:w="5952"/>
      </w:tblGrid>
      <w:tr w:rsidRPr="007330FC" w:rsidR="008B0657" w:rsidTr="008B0657" w14:paraId="1499CA5C" w14:textId="753DD593">
        <w:tc>
          <w:tcPr>
            <w:tcW w:w="3686" w:type="dxa"/>
            <w:tcBorders>
              <w:bottom w:val="single" w:color="auto" w:sz="4" w:space="0"/>
            </w:tcBorders>
          </w:tcPr>
          <w:p w:rsidRPr="007330FC" w:rsidR="008B0657" w:rsidP="00681D6B" w:rsidRDefault="001F2421" w14:paraId="01116D46" w14:textId="53AED9EF">
            <w:pPr>
              <w:pStyle w:val="Ingenafstand"/>
              <w:ind w:left="0"/>
              <w:rPr>
                <w:sz w:val="24"/>
              </w:rPr>
            </w:pPr>
            <w:r w:rsidRPr="007330FC">
              <w:rPr>
                <w:sz w:val="24"/>
                <w:lang w:val="en-GB" w:bidi="en-GB"/>
              </w:rPr>
              <w:t>Facility:</w:t>
            </w:r>
          </w:p>
        </w:tc>
        <w:tc>
          <w:tcPr>
            <w:tcW w:w="5952" w:type="dxa"/>
            <w:tcBorders>
              <w:bottom w:val="single" w:color="auto" w:sz="4" w:space="0"/>
            </w:tcBorders>
          </w:tcPr>
          <w:p w:rsidRPr="007330FC" w:rsidR="008B0657" w:rsidP="00681D6B" w:rsidRDefault="008B0657" w14:paraId="603771BF" w14:textId="77777777">
            <w:pPr>
              <w:pStyle w:val="Ingenafstand"/>
              <w:ind w:left="0"/>
              <w:rPr>
                <w:sz w:val="24"/>
              </w:rPr>
            </w:pPr>
          </w:p>
        </w:tc>
      </w:tr>
      <w:tr w:rsidRPr="007330FC" w:rsidR="008B0657" w:rsidTr="008B0657" w14:paraId="094C5C47" w14:textId="7D610141">
        <w:tc>
          <w:tcPr>
            <w:tcW w:w="3686" w:type="dxa"/>
            <w:tcBorders>
              <w:bottom w:val="single" w:color="auto" w:sz="4" w:space="0"/>
            </w:tcBorders>
          </w:tcPr>
          <w:p w:rsidRPr="007330FC" w:rsidR="008B0657" w:rsidP="00681D6B" w:rsidRDefault="008B0657" w14:paraId="0A205758" w14:textId="77777777">
            <w:pPr>
              <w:pStyle w:val="Ingenafstand"/>
              <w:ind w:left="0"/>
              <w:rPr>
                <w:sz w:val="24"/>
              </w:rPr>
            </w:pPr>
          </w:p>
          <w:p w:rsidRPr="007330FC" w:rsidR="008B0657" w:rsidP="00681D6B" w:rsidRDefault="008B0657" w14:paraId="15C38830" w14:textId="2A81C7CE">
            <w:pPr>
              <w:pStyle w:val="Ingenafstand"/>
              <w:ind w:left="0"/>
              <w:rPr>
                <w:sz w:val="24"/>
              </w:rPr>
            </w:pPr>
            <w:r w:rsidRPr="007330FC">
              <w:rPr>
                <w:sz w:val="24"/>
                <w:lang w:val="en-GB" w:bidi="en-GB"/>
              </w:rPr>
              <w:t xml:space="preserve">Total power: </w:t>
            </w:r>
          </w:p>
        </w:tc>
        <w:tc>
          <w:tcPr>
            <w:tcW w:w="5952" w:type="dxa"/>
            <w:tcBorders>
              <w:bottom w:val="single" w:color="auto" w:sz="4" w:space="0"/>
            </w:tcBorders>
          </w:tcPr>
          <w:p w:rsidRPr="007330FC" w:rsidR="008B0657" w:rsidP="00681D6B" w:rsidRDefault="008B0657" w14:paraId="0D7A0577" w14:textId="77777777">
            <w:pPr>
              <w:pStyle w:val="Ingenafstand"/>
              <w:ind w:left="0"/>
              <w:rPr>
                <w:sz w:val="24"/>
              </w:rPr>
            </w:pPr>
          </w:p>
        </w:tc>
      </w:tr>
    </w:tbl>
    <w:p w:rsidRPr="007330FC" w:rsidR="006E4692" w:rsidRDefault="00C4661A" w14:paraId="638912FF" w14:textId="0714F859">
      <w:pPr>
        <w:widowControl/>
        <w:numPr>
          <w:ilvl w:val="0"/>
          <w:numId w:val="0"/>
        </w:numPr>
        <w:tabs>
          <w:tab w:val="clear" w:pos="-850"/>
        </w:tabs>
        <w:spacing w:after="160" w:line="259" w:lineRule="auto"/>
        <w:contextualSpacing w:val="0"/>
        <w:rPr>
          <w:sz w:val="20"/>
          <w:szCs w:val="48"/>
        </w:rPr>
      </w:pPr>
      <w:r w:rsidRPr="007330FC">
        <w:rPr>
          <w:lang w:val="en-GB" w:bidi="en-GB"/>
        </w:rPr>
        <w:t>Hereinafter referred to as the ’demand facility’</w:t>
      </w:r>
    </w:p>
    <w:p w:rsidRPr="007330FC" w:rsidR="00B737D3" w:rsidP="00AE1F13" w:rsidRDefault="008B0657" w14:paraId="184ADB19" w14:textId="3E5600C7">
      <w:pPr>
        <w:pStyle w:val="Ingenafstand"/>
        <w:ind w:left="0"/>
        <w:jc w:val="center"/>
        <w:rPr>
          <w:b/>
          <w:sz w:val="48"/>
          <w:szCs w:val="48"/>
        </w:rPr>
      </w:pPr>
      <w:r w:rsidRPr="007330FC">
        <w:rPr>
          <w:b/>
          <w:sz w:val="48"/>
          <w:szCs w:val="48"/>
          <w:lang w:val="en-GB" w:bidi="en-GB"/>
        </w:rPr>
        <w:t>between</w:t>
      </w:r>
    </w:p>
    <w:tbl>
      <w:tblPr>
        <w:tblStyle w:val="Tabel-Gitter"/>
        <w:tblW w:w="0" w:type="auto"/>
        <w:tblBorders>
          <w:top w:val="none" w:color="auto" w:sz="0" w:space="0"/>
          <w:left w:val="none" w:color="auto" w:sz="0" w:space="0"/>
          <w:bottom w:val="none" w:color="auto" w:sz="0" w:space="0"/>
          <w:right w:val="none" w:color="auto" w:sz="0" w:space="0"/>
          <w:insideV w:val="none" w:color="auto" w:sz="0" w:space="0"/>
        </w:tblBorders>
        <w:tblLook w:val="04A0" w:firstRow="1" w:lastRow="0" w:firstColumn="1" w:lastColumn="0" w:noHBand="0" w:noVBand="1"/>
      </w:tblPr>
      <w:tblGrid>
        <w:gridCol w:w="9628"/>
      </w:tblGrid>
      <w:tr w:rsidRPr="007330FC" w:rsidR="001D4800" w:rsidTr="00E41509" w14:paraId="49EF1DB1" w14:textId="77777777">
        <w:tc>
          <w:tcPr>
            <w:tcW w:w="9628" w:type="dxa"/>
            <w:tcBorders>
              <w:top w:val="nil"/>
              <w:bottom w:val="nil"/>
            </w:tcBorders>
          </w:tcPr>
          <w:p w:rsidRPr="007330FC" w:rsidR="001D4800" w:rsidP="008B0657" w:rsidRDefault="001D4800" w14:paraId="79DDB82A" w14:textId="77777777">
            <w:pPr>
              <w:pStyle w:val="Ingenafstand"/>
              <w:ind w:left="0"/>
              <w:rPr>
                <w:b/>
                <w:sz w:val="28"/>
              </w:rPr>
            </w:pPr>
            <w:r w:rsidRPr="007330FC">
              <w:rPr>
                <w:b/>
                <w:sz w:val="28"/>
                <w:lang w:val="en-GB" w:bidi="en-GB"/>
              </w:rPr>
              <w:t>Facility owner</w:t>
            </w:r>
          </w:p>
        </w:tc>
      </w:tr>
      <w:tr w:rsidRPr="007330FC" w:rsidR="00E41509" w:rsidTr="00A536EA" w14:paraId="3C67D139" w14:textId="77777777">
        <w:tc>
          <w:tcPr>
            <w:tcW w:w="9628" w:type="dxa"/>
            <w:tcBorders>
              <w:top w:val="nil"/>
            </w:tcBorders>
          </w:tcPr>
          <w:p w:rsidRPr="007330FC" w:rsidR="00E41509" w:rsidP="000612B8" w:rsidRDefault="00E41509" w14:paraId="7552E1A5" w14:textId="77777777">
            <w:pPr>
              <w:pStyle w:val="Ingenafstand"/>
              <w:ind w:left="0"/>
              <w:rPr>
                <w:sz w:val="24"/>
              </w:rPr>
            </w:pPr>
          </w:p>
          <w:p w:rsidRPr="007330FC" w:rsidR="00E41509" w:rsidP="00E41509" w:rsidRDefault="00E41509" w14:paraId="07A768B0" w14:textId="1C9C2623">
            <w:pPr>
              <w:pStyle w:val="Ingenafstand"/>
              <w:ind w:left="0"/>
            </w:pPr>
            <w:r w:rsidRPr="007330FC">
              <w:rPr>
                <w:sz w:val="24"/>
                <w:lang w:val="en-GB" w:bidi="en-GB"/>
              </w:rPr>
              <w:t>Name:</w:t>
            </w:r>
          </w:p>
        </w:tc>
      </w:tr>
      <w:tr w:rsidRPr="007330FC" w:rsidR="00E41509" w:rsidTr="00A536EA" w14:paraId="3772B92C" w14:textId="77777777">
        <w:tc>
          <w:tcPr>
            <w:tcW w:w="9628" w:type="dxa"/>
            <w:tcBorders>
              <w:bottom w:val="single" w:color="auto" w:sz="4" w:space="0"/>
            </w:tcBorders>
          </w:tcPr>
          <w:p w:rsidRPr="007330FC" w:rsidR="00E41509" w:rsidP="000612B8" w:rsidRDefault="00E41509" w14:paraId="75D254C4" w14:textId="77777777">
            <w:pPr>
              <w:pStyle w:val="Ingenafstand"/>
              <w:ind w:left="0"/>
              <w:rPr>
                <w:sz w:val="24"/>
              </w:rPr>
            </w:pPr>
          </w:p>
          <w:p w:rsidRPr="007330FC" w:rsidR="00E41509" w:rsidP="00E41509" w:rsidRDefault="00E41509" w14:paraId="210AD3F9" w14:textId="3D205651">
            <w:pPr>
              <w:pStyle w:val="Ingenafstand"/>
              <w:ind w:left="0"/>
            </w:pPr>
            <w:r w:rsidRPr="007330FC">
              <w:rPr>
                <w:sz w:val="24"/>
                <w:lang w:val="en-GB" w:bidi="en-GB"/>
              </w:rPr>
              <w:t>Address:</w:t>
            </w:r>
          </w:p>
        </w:tc>
      </w:tr>
      <w:tr w:rsidRPr="007330FC" w:rsidR="00E41509" w:rsidTr="00A536EA" w14:paraId="0A95D0CC" w14:textId="77777777">
        <w:tc>
          <w:tcPr>
            <w:tcW w:w="9628" w:type="dxa"/>
            <w:tcBorders>
              <w:top w:val="single" w:color="auto" w:sz="4" w:space="0"/>
              <w:bottom w:val="single" w:color="auto" w:sz="4" w:space="0"/>
            </w:tcBorders>
          </w:tcPr>
          <w:p w:rsidRPr="007330FC" w:rsidR="00E41509" w:rsidP="000612B8" w:rsidRDefault="00E41509" w14:paraId="47368BED" w14:textId="77777777">
            <w:pPr>
              <w:pStyle w:val="Ingenafstand"/>
              <w:ind w:left="0"/>
              <w:rPr>
                <w:sz w:val="24"/>
              </w:rPr>
            </w:pPr>
          </w:p>
          <w:p w:rsidRPr="007330FC" w:rsidR="00E41509" w:rsidP="00E41509" w:rsidRDefault="00E41509" w14:paraId="12A2CCC1" w14:textId="7DD3B053">
            <w:pPr>
              <w:pStyle w:val="Ingenafstand"/>
              <w:ind w:left="0"/>
            </w:pPr>
            <w:r w:rsidRPr="007330FC">
              <w:rPr>
                <w:sz w:val="24"/>
                <w:lang w:val="en-GB" w:bidi="en-GB"/>
              </w:rPr>
              <w:t>CVR/CPR no.:</w:t>
            </w:r>
          </w:p>
        </w:tc>
      </w:tr>
    </w:tbl>
    <w:p w:rsidRPr="007330FC" w:rsidR="00E41509" w:rsidP="00E41509" w:rsidRDefault="00DC4773" w14:paraId="006B85CA" w14:textId="21A15377">
      <w:pPr>
        <w:pStyle w:val="Ingenafstand"/>
        <w:ind w:left="0"/>
      </w:pPr>
      <w:r w:rsidRPr="007330FC">
        <w:rPr>
          <w:lang w:val="en-GB" w:bidi="en-GB"/>
        </w:rPr>
        <w:t>Hereinafter referred to as the ‘Facility Owner’</w:t>
      </w:r>
    </w:p>
    <w:p w:rsidRPr="007330FC" w:rsidR="008B0657" w:rsidP="008B0657" w:rsidRDefault="008B0657" w14:paraId="366BA419" w14:textId="750BCF27">
      <w:pPr>
        <w:pStyle w:val="Ingenafstand"/>
        <w:ind w:left="0"/>
        <w:jc w:val="center"/>
        <w:rPr>
          <w:b/>
          <w:sz w:val="48"/>
        </w:rPr>
      </w:pPr>
      <w:r w:rsidRPr="007330FC">
        <w:rPr>
          <w:b/>
          <w:sz w:val="48"/>
          <w:lang w:val="en-GB" w:bidi="en-GB"/>
        </w:rPr>
        <w:t>and</w:t>
      </w:r>
    </w:p>
    <w:tbl>
      <w:tblPr>
        <w:tblStyle w:val="Tabel-Git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28"/>
      </w:tblGrid>
      <w:tr w:rsidRPr="007330FC" w:rsidR="001D4800" w:rsidTr="00E41509" w14:paraId="4A059C4E" w14:textId="77777777">
        <w:tc>
          <w:tcPr>
            <w:tcW w:w="9628" w:type="dxa"/>
          </w:tcPr>
          <w:p w:rsidRPr="007330FC" w:rsidR="001D4800" w:rsidP="008B0657" w:rsidRDefault="00794FA7" w14:paraId="37F841EB" w14:textId="4FDAE315">
            <w:pPr>
              <w:pStyle w:val="Ingenafstand"/>
              <w:ind w:left="37"/>
              <w:rPr>
                <w:sz w:val="28"/>
              </w:rPr>
            </w:pPr>
            <w:r>
              <w:rPr>
                <w:b/>
                <w:sz w:val="28"/>
                <w:lang w:val="en-GB" w:bidi="en-GB"/>
              </w:rPr>
              <w:t xml:space="preserve">Distribution System Operator </w:t>
            </w:r>
          </w:p>
        </w:tc>
      </w:tr>
      <w:tr w:rsidRPr="007330FC" w:rsidR="00E41509" w:rsidTr="00A536EA" w14:paraId="2ABC3B77" w14:textId="77777777">
        <w:tc>
          <w:tcPr>
            <w:tcW w:w="9628" w:type="dxa"/>
            <w:tcBorders>
              <w:bottom w:val="single" w:color="auto" w:sz="4" w:space="0"/>
            </w:tcBorders>
          </w:tcPr>
          <w:p w:rsidRPr="007330FC" w:rsidR="00E41509" w:rsidP="000612B8" w:rsidRDefault="00E41509" w14:paraId="544A29A9" w14:textId="77777777">
            <w:pPr>
              <w:pStyle w:val="Ingenafstand"/>
              <w:ind w:left="0"/>
              <w:rPr>
                <w:sz w:val="24"/>
              </w:rPr>
            </w:pPr>
          </w:p>
          <w:p w:rsidRPr="007330FC" w:rsidR="00E41509" w:rsidP="00E41509" w:rsidRDefault="00E41509" w14:paraId="3C2D239E" w14:textId="62394C86">
            <w:pPr>
              <w:pStyle w:val="Ingenafstand"/>
              <w:ind w:left="0"/>
              <w:rPr>
                <w:sz w:val="24"/>
              </w:rPr>
            </w:pPr>
            <w:r w:rsidRPr="007330FC">
              <w:rPr>
                <w:sz w:val="24"/>
                <w:lang w:val="en-GB" w:bidi="en-GB"/>
              </w:rPr>
              <w:t>Name:</w:t>
            </w:r>
          </w:p>
        </w:tc>
      </w:tr>
      <w:tr w:rsidRPr="007330FC" w:rsidR="00E41509" w:rsidTr="00A536EA" w14:paraId="6AB98349" w14:textId="77777777">
        <w:tc>
          <w:tcPr>
            <w:tcW w:w="9628" w:type="dxa"/>
            <w:tcBorders>
              <w:top w:val="single" w:color="auto" w:sz="4" w:space="0"/>
              <w:bottom w:val="single" w:color="auto" w:sz="4" w:space="0"/>
            </w:tcBorders>
          </w:tcPr>
          <w:p w:rsidRPr="007330FC" w:rsidR="00E41509" w:rsidP="000612B8" w:rsidRDefault="00E41509" w14:paraId="1242209F" w14:textId="77777777">
            <w:pPr>
              <w:pStyle w:val="Ingenafstand"/>
              <w:ind w:left="0"/>
              <w:rPr>
                <w:sz w:val="24"/>
              </w:rPr>
            </w:pPr>
          </w:p>
          <w:p w:rsidRPr="007330FC" w:rsidR="00E41509" w:rsidP="00E41509" w:rsidRDefault="008B0657" w14:paraId="0DEA25D1" w14:textId="3D1ED0B4">
            <w:pPr>
              <w:pStyle w:val="Ingenafstand"/>
              <w:ind w:left="0"/>
              <w:rPr>
                <w:sz w:val="24"/>
              </w:rPr>
            </w:pPr>
            <w:r w:rsidRPr="007330FC">
              <w:rPr>
                <w:sz w:val="24"/>
                <w:lang w:val="en-GB" w:bidi="en-GB"/>
              </w:rPr>
              <w:t>Address:</w:t>
            </w:r>
          </w:p>
        </w:tc>
      </w:tr>
      <w:tr w:rsidRPr="007330FC" w:rsidR="008B0657" w:rsidTr="00A536EA" w14:paraId="27535873" w14:textId="77777777">
        <w:tc>
          <w:tcPr>
            <w:tcW w:w="9628" w:type="dxa"/>
            <w:tcBorders>
              <w:top w:val="single" w:color="auto" w:sz="4" w:space="0"/>
              <w:bottom w:val="single" w:color="auto" w:sz="4" w:space="0"/>
            </w:tcBorders>
          </w:tcPr>
          <w:p w:rsidRPr="007330FC" w:rsidR="008B0657" w:rsidP="000612B8" w:rsidRDefault="008B0657" w14:paraId="79FD5612" w14:textId="77777777">
            <w:pPr>
              <w:pStyle w:val="Ingenafstand"/>
              <w:ind w:left="0"/>
              <w:rPr>
                <w:sz w:val="24"/>
              </w:rPr>
            </w:pPr>
          </w:p>
          <w:p w:rsidRPr="007330FC" w:rsidR="008B0657" w:rsidP="000612B8" w:rsidRDefault="008B0657" w14:paraId="6D8F238A" w14:textId="1B466DC7">
            <w:pPr>
              <w:pStyle w:val="Ingenafstand"/>
              <w:ind w:left="0"/>
              <w:rPr>
                <w:sz w:val="24"/>
              </w:rPr>
            </w:pPr>
            <w:r w:rsidRPr="007330FC">
              <w:rPr>
                <w:sz w:val="24"/>
                <w:lang w:val="en-GB" w:bidi="en-GB"/>
              </w:rPr>
              <w:t>CVR no.:</w:t>
            </w:r>
          </w:p>
        </w:tc>
      </w:tr>
    </w:tbl>
    <w:p w:rsidRPr="007330FC" w:rsidR="00F44EAD" w:rsidP="001F2421" w:rsidRDefault="00DC4773" w14:paraId="69EE88D8" w14:textId="77EE3A44">
      <w:pPr>
        <w:pStyle w:val="Ingenafstand"/>
        <w:ind w:left="0"/>
      </w:pPr>
      <w:r w:rsidRPr="007330FC">
        <w:rPr>
          <w:lang w:val="en-GB" w:bidi="en-GB"/>
        </w:rPr>
        <w:t>Hereinafter referred to as the ‘</w:t>
      </w:r>
      <w:r w:rsidR="00794FA7">
        <w:rPr>
          <w:lang w:val="en-GB" w:bidi="en-GB"/>
        </w:rPr>
        <w:t>DSO</w:t>
      </w:r>
      <w:r w:rsidRPr="007330FC">
        <w:rPr>
          <w:lang w:val="en-GB" w:bidi="en-GB"/>
        </w:rPr>
        <w:t>’</w:t>
      </w:r>
    </w:p>
    <w:p w:rsidRPr="007330FC" w:rsidR="00E41509" w:rsidP="00511CF0" w:rsidRDefault="00E41509" w14:paraId="7F04B3EF" w14:textId="77777777">
      <w:pPr>
        <w:pStyle w:val="Ingenafstand"/>
      </w:pPr>
    </w:p>
    <w:p w:rsidRPr="007330FC" w:rsidR="003B49D4" w:rsidP="00BA52F9" w:rsidRDefault="0090214F" w14:paraId="7277E67C" w14:textId="77777777">
      <w:pPr>
        <w:pStyle w:val="Ingenafstand"/>
        <w:ind w:left="0"/>
      </w:pPr>
      <w:r>
        <w:rPr>
          <w:lang w:val="en-GB" w:bidi="en-GB"/>
        </w:rPr>
        <w:pict w14:anchorId="0F51339F">
          <v:rect id="_x0000_i1025" style="width:0;height:1.5pt" o:hr="t" o:hrstd="t" o:hralign="center" fillcolor="#a0a0a0" stroked="f"/>
        </w:pict>
      </w:r>
    </w:p>
    <w:p w:rsidRPr="007330FC" w:rsidR="00E41509" w:rsidP="00BA52F9" w:rsidRDefault="00E41509" w14:paraId="7CD21D40" w14:textId="77777777">
      <w:pPr>
        <w:pStyle w:val="Ingenafstand"/>
        <w:ind w:left="0"/>
      </w:pPr>
    </w:p>
    <w:p w:rsidR="009A6D95" w:rsidRDefault="009A6D95" w14:paraId="26B82701" w14:textId="01C1178F">
      <w:pPr>
        <w:widowControl/>
        <w:numPr>
          <w:ilvl w:val="0"/>
          <w:numId w:val="0"/>
        </w:numPr>
        <w:tabs>
          <w:tab w:val="clear" w:pos="-850"/>
        </w:tabs>
        <w:spacing w:after="160" w:line="259" w:lineRule="auto"/>
        <w:contextualSpacing w:val="0"/>
      </w:pPr>
      <w:r>
        <w:rPr>
          <w:lang w:val="en-GB" w:bidi="en-GB"/>
        </w:rPr>
        <w:br w:type="page"/>
      </w:r>
    </w:p>
    <w:p w:rsidRPr="007330FC" w:rsidR="00055B21" w:rsidP="00511CF0" w:rsidRDefault="00055B21" w14:paraId="67B17CB9" w14:textId="77777777">
      <w:pPr>
        <w:pStyle w:val="Ingenafstand"/>
      </w:pPr>
    </w:p>
    <w:sdt>
      <w:sdtPr>
        <w:rPr>
          <w:rFonts w:ascii="Arial" w:hAnsi="Arial" w:eastAsiaTheme="minorHAnsi" w:cstheme="minorBidi"/>
          <w:color w:val="auto"/>
          <w:sz w:val="28"/>
          <w:szCs w:val="22"/>
          <w:lang w:val="da-DK"/>
        </w:rPr>
        <w:id w:val="-1815858303"/>
        <w:docPartObj>
          <w:docPartGallery w:val="Table of Contents"/>
          <w:docPartUnique/>
        </w:docPartObj>
      </w:sdtPr>
      <w:sdtEndPr>
        <w:rPr>
          <w:b/>
          <w:bCs/>
          <w:noProof/>
          <w:sz w:val="22"/>
        </w:rPr>
      </w:sdtEndPr>
      <w:sdtContent>
        <w:p w:rsidRPr="007330FC" w:rsidR="00B13C86" w:rsidRDefault="00E06DC9" w14:paraId="724F71E3" w14:textId="391A3345">
          <w:pPr>
            <w:pStyle w:val="Overskrift"/>
            <w:rPr>
              <w:rFonts w:ascii="Arial" w:hAnsi="Arial" w:cs="Arial"/>
              <w:color w:val="auto"/>
              <w:sz w:val="40"/>
            </w:rPr>
          </w:pPr>
          <w:r w:rsidRPr="007330FC">
            <w:rPr>
              <w:rFonts w:ascii="Arial" w:hAnsi="Arial" w:eastAsia="Arial" w:cs="Arial"/>
              <w:color w:val="auto"/>
              <w:sz w:val="40"/>
              <w:lang w:val="en-GB" w:bidi="en-GB"/>
            </w:rPr>
            <w:t>Table of contents</w:t>
          </w:r>
        </w:p>
        <w:p w:rsidRPr="007330FC" w:rsidR="00454984" w:rsidP="00AE1991" w:rsidRDefault="00454984" w14:paraId="3D2DB668" w14:textId="77777777">
          <w:pPr>
            <w:numPr>
              <w:ilvl w:val="0"/>
              <w:numId w:val="0"/>
            </w:numPr>
            <w:ind w:left="578"/>
          </w:pPr>
        </w:p>
        <w:p w:rsidR="00F5152A" w:rsidRDefault="00B13C86" w14:paraId="6CD06D06" w14:textId="657A05A3">
          <w:pPr>
            <w:pStyle w:val="Indholdsfortegnelse1"/>
            <w:rPr>
              <w:rFonts w:asciiTheme="minorHAnsi" w:hAnsiTheme="minorHAnsi" w:eastAsiaTheme="minorEastAsia"/>
              <w:noProof/>
              <w:lang w:val="en-GB" w:eastAsia="en-GB"/>
            </w:rPr>
          </w:pPr>
          <w:r w:rsidRPr="007330FC">
            <w:rPr>
              <w:lang w:val="en-GB" w:bidi="en-GB"/>
            </w:rPr>
            <w:fldChar w:fldCharType="begin"/>
          </w:r>
          <w:r w:rsidRPr="007330FC">
            <w:rPr>
              <w:lang w:val="en-GB" w:bidi="en-GB"/>
            </w:rPr>
            <w:instrText xml:space="preserve"> TOC \o "1-3" \h \z \u </w:instrText>
          </w:r>
          <w:r w:rsidRPr="007330FC">
            <w:rPr>
              <w:lang w:val="en-GB" w:bidi="en-GB"/>
            </w:rPr>
            <w:fldChar w:fldCharType="separate"/>
          </w:r>
          <w:hyperlink w:history="1" w:anchor="_Toc44067830">
            <w:r w:rsidRPr="002C06E7" w:rsidR="00F5152A">
              <w:rPr>
                <w:rStyle w:val="Hyperlink"/>
                <w:noProof/>
              </w:rPr>
              <w:t>1 .</w:t>
            </w:r>
            <w:r w:rsidR="00F5152A">
              <w:rPr>
                <w:rFonts w:asciiTheme="minorHAnsi" w:hAnsiTheme="minorHAnsi" w:eastAsiaTheme="minorEastAsia"/>
                <w:noProof/>
                <w:lang w:val="en-GB" w:eastAsia="en-GB"/>
              </w:rPr>
              <w:tab/>
            </w:r>
            <w:r w:rsidRPr="002C06E7" w:rsidR="00F5152A">
              <w:rPr>
                <w:rStyle w:val="Hyperlink"/>
                <w:noProof/>
                <w:lang w:val="en-GB" w:bidi="en-GB"/>
              </w:rPr>
              <w:t>Purpose and scope of the Agreement</w:t>
            </w:r>
            <w:r w:rsidR="00F5152A">
              <w:rPr>
                <w:noProof/>
                <w:webHidden/>
              </w:rPr>
              <w:tab/>
            </w:r>
            <w:r w:rsidR="00F5152A">
              <w:rPr>
                <w:noProof/>
                <w:webHidden/>
              </w:rPr>
              <w:fldChar w:fldCharType="begin"/>
            </w:r>
            <w:r w:rsidR="00F5152A">
              <w:rPr>
                <w:noProof/>
                <w:webHidden/>
              </w:rPr>
              <w:instrText xml:space="preserve"> PAGEREF _Toc44067830 \h </w:instrText>
            </w:r>
            <w:r w:rsidR="00F5152A">
              <w:rPr>
                <w:noProof/>
                <w:webHidden/>
              </w:rPr>
            </w:r>
            <w:r w:rsidR="00F5152A">
              <w:rPr>
                <w:noProof/>
                <w:webHidden/>
              </w:rPr>
              <w:fldChar w:fldCharType="separate"/>
            </w:r>
            <w:r w:rsidR="00F5152A">
              <w:rPr>
                <w:noProof/>
                <w:webHidden/>
              </w:rPr>
              <w:t>5</w:t>
            </w:r>
            <w:r w:rsidR="00F5152A">
              <w:rPr>
                <w:noProof/>
                <w:webHidden/>
              </w:rPr>
              <w:fldChar w:fldCharType="end"/>
            </w:r>
          </w:hyperlink>
        </w:p>
        <w:p w:rsidR="00F5152A" w:rsidRDefault="0090214F" w14:paraId="12F3708D" w14:textId="515FADD9">
          <w:pPr>
            <w:pStyle w:val="Indholdsfortegnelse1"/>
            <w:rPr>
              <w:rFonts w:asciiTheme="minorHAnsi" w:hAnsiTheme="minorHAnsi" w:eastAsiaTheme="minorEastAsia"/>
              <w:noProof/>
              <w:lang w:val="en-GB" w:eastAsia="en-GB"/>
            </w:rPr>
          </w:pPr>
          <w:hyperlink w:history="1" w:anchor="_Toc44067831">
            <w:r w:rsidRPr="002C06E7" w:rsidR="00F5152A">
              <w:rPr>
                <w:rStyle w:val="Hyperlink"/>
                <w:noProof/>
              </w:rPr>
              <w:t>2 .</w:t>
            </w:r>
            <w:r w:rsidR="00F5152A">
              <w:rPr>
                <w:rFonts w:asciiTheme="minorHAnsi" w:hAnsiTheme="minorHAnsi" w:eastAsiaTheme="minorEastAsia"/>
                <w:noProof/>
                <w:lang w:val="en-GB" w:eastAsia="en-GB"/>
              </w:rPr>
              <w:tab/>
            </w:r>
            <w:r w:rsidRPr="002C06E7" w:rsidR="00F5152A">
              <w:rPr>
                <w:rStyle w:val="Hyperlink"/>
                <w:noProof/>
                <w:lang w:val="en-GB" w:bidi="en-GB"/>
              </w:rPr>
              <w:t>Establishment of the demand facility</w:t>
            </w:r>
            <w:r w:rsidR="00F5152A">
              <w:rPr>
                <w:noProof/>
                <w:webHidden/>
              </w:rPr>
              <w:tab/>
            </w:r>
            <w:r w:rsidR="00F5152A">
              <w:rPr>
                <w:noProof/>
                <w:webHidden/>
              </w:rPr>
              <w:fldChar w:fldCharType="begin"/>
            </w:r>
            <w:r w:rsidR="00F5152A">
              <w:rPr>
                <w:noProof/>
                <w:webHidden/>
              </w:rPr>
              <w:instrText xml:space="preserve"> PAGEREF _Toc44067831 \h </w:instrText>
            </w:r>
            <w:r w:rsidR="00F5152A">
              <w:rPr>
                <w:noProof/>
                <w:webHidden/>
              </w:rPr>
            </w:r>
            <w:r w:rsidR="00F5152A">
              <w:rPr>
                <w:noProof/>
                <w:webHidden/>
              </w:rPr>
              <w:fldChar w:fldCharType="separate"/>
            </w:r>
            <w:r w:rsidR="00F5152A">
              <w:rPr>
                <w:noProof/>
                <w:webHidden/>
              </w:rPr>
              <w:t>5</w:t>
            </w:r>
            <w:r w:rsidR="00F5152A">
              <w:rPr>
                <w:noProof/>
                <w:webHidden/>
              </w:rPr>
              <w:fldChar w:fldCharType="end"/>
            </w:r>
          </w:hyperlink>
        </w:p>
        <w:p w:rsidR="00F5152A" w:rsidRDefault="0090214F" w14:paraId="20317DF5" w14:textId="467EE6A8">
          <w:pPr>
            <w:pStyle w:val="Indholdsfortegnelse1"/>
            <w:rPr>
              <w:rFonts w:asciiTheme="minorHAnsi" w:hAnsiTheme="minorHAnsi" w:eastAsiaTheme="minorEastAsia"/>
              <w:noProof/>
              <w:lang w:val="en-GB" w:eastAsia="en-GB"/>
            </w:rPr>
          </w:pPr>
          <w:hyperlink w:history="1" w:anchor="_Toc44067832">
            <w:r w:rsidRPr="002C06E7" w:rsidR="00F5152A">
              <w:rPr>
                <w:rStyle w:val="Hyperlink"/>
                <w:noProof/>
              </w:rPr>
              <w:t>3 .</w:t>
            </w:r>
            <w:r w:rsidR="00F5152A">
              <w:rPr>
                <w:rFonts w:asciiTheme="minorHAnsi" w:hAnsiTheme="minorHAnsi" w:eastAsiaTheme="minorEastAsia"/>
                <w:noProof/>
                <w:lang w:val="en-GB" w:eastAsia="en-GB"/>
              </w:rPr>
              <w:tab/>
            </w:r>
            <w:r w:rsidRPr="002C06E7" w:rsidR="00F5152A">
              <w:rPr>
                <w:rStyle w:val="Hyperlink"/>
                <w:noProof/>
                <w:lang w:val="en-GB" w:bidi="en-GB"/>
              </w:rPr>
              <w:t>Special conditions and requirements for the grid connection</w:t>
            </w:r>
            <w:r w:rsidR="00F5152A">
              <w:rPr>
                <w:noProof/>
                <w:webHidden/>
              </w:rPr>
              <w:tab/>
            </w:r>
            <w:r w:rsidR="00F5152A">
              <w:rPr>
                <w:noProof/>
                <w:webHidden/>
              </w:rPr>
              <w:fldChar w:fldCharType="begin"/>
            </w:r>
            <w:r w:rsidR="00F5152A">
              <w:rPr>
                <w:noProof/>
                <w:webHidden/>
              </w:rPr>
              <w:instrText xml:space="preserve"> PAGEREF _Toc44067832 \h </w:instrText>
            </w:r>
            <w:r w:rsidR="00F5152A">
              <w:rPr>
                <w:noProof/>
                <w:webHidden/>
              </w:rPr>
            </w:r>
            <w:r w:rsidR="00F5152A">
              <w:rPr>
                <w:noProof/>
                <w:webHidden/>
              </w:rPr>
              <w:fldChar w:fldCharType="separate"/>
            </w:r>
            <w:r w:rsidR="00F5152A">
              <w:rPr>
                <w:noProof/>
                <w:webHidden/>
              </w:rPr>
              <w:t>6</w:t>
            </w:r>
            <w:r w:rsidR="00F5152A">
              <w:rPr>
                <w:noProof/>
                <w:webHidden/>
              </w:rPr>
              <w:fldChar w:fldCharType="end"/>
            </w:r>
          </w:hyperlink>
        </w:p>
        <w:p w:rsidR="00F5152A" w:rsidRDefault="0090214F" w14:paraId="25B9E457" w14:textId="76C3FBB1">
          <w:pPr>
            <w:pStyle w:val="Indholdsfortegnelse1"/>
            <w:rPr>
              <w:rFonts w:asciiTheme="minorHAnsi" w:hAnsiTheme="minorHAnsi" w:eastAsiaTheme="minorEastAsia"/>
              <w:noProof/>
              <w:lang w:val="en-GB" w:eastAsia="en-GB"/>
            </w:rPr>
          </w:pPr>
          <w:hyperlink w:history="1" w:anchor="_Toc44067833">
            <w:r w:rsidRPr="002C06E7" w:rsidR="00F5152A">
              <w:rPr>
                <w:rStyle w:val="Hyperlink"/>
                <w:noProof/>
              </w:rPr>
              <w:t>4 .</w:t>
            </w:r>
            <w:r w:rsidR="00F5152A">
              <w:rPr>
                <w:rFonts w:asciiTheme="minorHAnsi" w:hAnsiTheme="minorHAnsi" w:eastAsiaTheme="minorEastAsia"/>
                <w:noProof/>
                <w:lang w:val="en-GB" w:eastAsia="en-GB"/>
              </w:rPr>
              <w:tab/>
            </w:r>
            <w:r w:rsidRPr="002C06E7" w:rsidR="00F5152A">
              <w:rPr>
                <w:rStyle w:val="Hyperlink"/>
                <w:noProof/>
                <w:lang w:val="en-GB" w:bidi="en-GB"/>
              </w:rPr>
              <w:t>Grid connection and verification</w:t>
            </w:r>
            <w:r w:rsidR="00F5152A">
              <w:rPr>
                <w:noProof/>
                <w:webHidden/>
              </w:rPr>
              <w:tab/>
            </w:r>
            <w:r w:rsidR="00F5152A">
              <w:rPr>
                <w:noProof/>
                <w:webHidden/>
              </w:rPr>
              <w:fldChar w:fldCharType="begin"/>
            </w:r>
            <w:r w:rsidR="00F5152A">
              <w:rPr>
                <w:noProof/>
                <w:webHidden/>
              </w:rPr>
              <w:instrText xml:space="preserve"> PAGEREF _Toc44067833 \h </w:instrText>
            </w:r>
            <w:r w:rsidR="00F5152A">
              <w:rPr>
                <w:noProof/>
                <w:webHidden/>
              </w:rPr>
            </w:r>
            <w:r w:rsidR="00F5152A">
              <w:rPr>
                <w:noProof/>
                <w:webHidden/>
              </w:rPr>
              <w:fldChar w:fldCharType="separate"/>
            </w:r>
            <w:r w:rsidR="00F5152A">
              <w:rPr>
                <w:noProof/>
                <w:webHidden/>
              </w:rPr>
              <w:t>6</w:t>
            </w:r>
            <w:r w:rsidR="00F5152A">
              <w:rPr>
                <w:noProof/>
                <w:webHidden/>
              </w:rPr>
              <w:fldChar w:fldCharType="end"/>
            </w:r>
          </w:hyperlink>
        </w:p>
        <w:p w:rsidR="00F5152A" w:rsidRDefault="0090214F" w14:paraId="6779AA41" w14:textId="48F10C78">
          <w:pPr>
            <w:pStyle w:val="Indholdsfortegnelse1"/>
            <w:rPr>
              <w:rFonts w:asciiTheme="minorHAnsi" w:hAnsiTheme="minorHAnsi" w:eastAsiaTheme="minorEastAsia"/>
              <w:noProof/>
              <w:lang w:val="en-GB" w:eastAsia="en-GB"/>
            </w:rPr>
          </w:pPr>
          <w:hyperlink w:history="1" w:anchor="_Toc44067834">
            <w:r w:rsidRPr="002C06E7" w:rsidR="00F5152A">
              <w:rPr>
                <w:rStyle w:val="Hyperlink"/>
                <w:noProof/>
              </w:rPr>
              <w:t>5 .</w:t>
            </w:r>
            <w:r w:rsidR="00F5152A">
              <w:rPr>
                <w:rFonts w:asciiTheme="minorHAnsi" w:hAnsiTheme="minorHAnsi" w:eastAsiaTheme="minorEastAsia"/>
                <w:noProof/>
                <w:lang w:val="en-GB" w:eastAsia="en-GB"/>
              </w:rPr>
              <w:tab/>
            </w:r>
            <w:r w:rsidRPr="002C06E7" w:rsidR="00F5152A">
              <w:rPr>
                <w:rStyle w:val="Hyperlink"/>
                <w:noProof/>
                <w:lang w:val="en-GB" w:bidi="en-GB"/>
              </w:rPr>
              <w:t>Operation of the demand facility</w:t>
            </w:r>
            <w:r w:rsidR="00F5152A">
              <w:rPr>
                <w:noProof/>
                <w:webHidden/>
              </w:rPr>
              <w:tab/>
            </w:r>
            <w:r w:rsidR="00F5152A">
              <w:rPr>
                <w:noProof/>
                <w:webHidden/>
              </w:rPr>
              <w:fldChar w:fldCharType="begin"/>
            </w:r>
            <w:r w:rsidR="00F5152A">
              <w:rPr>
                <w:noProof/>
                <w:webHidden/>
              </w:rPr>
              <w:instrText xml:space="preserve"> PAGEREF _Toc44067834 \h </w:instrText>
            </w:r>
            <w:r w:rsidR="00F5152A">
              <w:rPr>
                <w:noProof/>
                <w:webHidden/>
              </w:rPr>
            </w:r>
            <w:r w:rsidR="00F5152A">
              <w:rPr>
                <w:noProof/>
                <w:webHidden/>
              </w:rPr>
              <w:fldChar w:fldCharType="separate"/>
            </w:r>
            <w:r w:rsidR="00F5152A">
              <w:rPr>
                <w:noProof/>
                <w:webHidden/>
              </w:rPr>
              <w:t>7</w:t>
            </w:r>
            <w:r w:rsidR="00F5152A">
              <w:rPr>
                <w:noProof/>
                <w:webHidden/>
              </w:rPr>
              <w:fldChar w:fldCharType="end"/>
            </w:r>
          </w:hyperlink>
        </w:p>
        <w:p w:rsidR="00F5152A" w:rsidRDefault="0090214F" w14:paraId="418578D9" w14:textId="356165E4">
          <w:pPr>
            <w:pStyle w:val="Indholdsfortegnelse1"/>
            <w:rPr>
              <w:rFonts w:asciiTheme="minorHAnsi" w:hAnsiTheme="minorHAnsi" w:eastAsiaTheme="minorEastAsia"/>
              <w:noProof/>
              <w:lang w:val="en-GB" w:eastAsia="en-GB"/>
            </w:rPr>
          </w:pPr>
          <w:hyperlink w:history="1" w:anchor="_Toc44067835">
            <w:r w:rsidRPr="002C06E7" w:rsidR="00F5152A">
              <w:rPr>
                <w:rStyle w:val="Hyperlink"/>
                <w:noProof/>
              </w:rPr>
              <w:t>6 .</w:t>
            </w:r>
            <w:r w:rsidR="00F5152A">
              <w:rPr>
                <w:rFonts w:asciiTheme="minorHAnsi" w:hAnsiTheme="minorHAnsi" w:eastAsiaTheme="minorEastAsia"/>
                <w:noProof/>
                <w:lang w:val="en-GB" w:eastAsia="en-GB"/>
              </w:rPr>
              <w:tab/>
            </w:r>
            <w:r w:rsidRPr="002C06E7" w:rsidR="00F5152A">
              <w:rPr>
                <w:rStyle w:val="Hyperlink"/>
                <w:noProof/>
                <w:lang w:val="en-GB" w:bidi="en-GB"/>
              </w:rPr>
              <w:t>Electricity meter etc.</w:t>
            </w:r>
            <w:r w:rsidR="00F5152A">
              <w:rPr>
                <w:noProof/>
                <w:webHidden/>
              </w:rPr>
              <w:tab/>
            </w:r>
            <w:r w:rsidR="00F5152A">
              <w:rPr>
                <w:noProof/>
                <w:webHidden/>
              </w:rPr>
              <w:fldChar w:fldCharType="begin"/>
            </w:r>
            <w:r w:rsidR="00F5152A">
              <w:rPr>
                <w:noProof/>
                <w:webHidden/>
              </w:rPr>
              <w:instrText xml:space="preserve"> PAGEREF _Toc44067835 \h </w:instrText>
            </w:r>
            <w:r w:rsidR="00F5152A">
              <w:rPr>
                <w:noProof/>
                <w:webHidden/>
              </w:rPr>
            </w:r>
            <w:r w:rsidR="00F5152A">
              <w:rPr>
                <w:noProof/>
                <w:webHidden/>
              </w:rPr>
              <w:fldChar w:fldCharType="separate"/>
            </w:r>
            <w:r w:rsidR="00F5152A">
              <w:rPr>
                <w:noProof/>
                <w:webHidden/>
              </w:rPr>
              <w:t>9</w:t>
            </w:r>
            <w:r w:rsidR="00F5152A">
              <w:rPr>
                <w:noProof/>
                <w:webHidden/>
              </w:rPr>
              <w:fldChar w:fldCharType="end"/>
            </w:r>
          </w:hyperlink>
        </w:p>
        <w:p w:rsidR="00F5152A" w:rsidRDefault="0090214F" w14:paraId="3879F2A0" w14:textId="093E2DC8">
          <w:pPr>
            <w:pStyle w:val="Indholdsfortegnelse1"/>
            <w:rPr>
              <w:rFonts w:asciiTheme="minorHAnsi" w:hAnsiTheme="minorHAnsi" w:eastAsiaTheme="minorEastAsia"/>
              <w:noProof/>
              <w:lang w:val="en-GB" w:eastAsia="en-GB"/>
            </w:rPr>
          </w:pPr>
          <w:hyperlink w:history="1" w:anchor="_Toc44067836">
            <w:r w:rsidRPr="002C06E7" w:rsidR="00F5152A">
              <w:rPr>
                <w:rStyle w:val="Hyperlink"/>
                <w:noProof/>
              </w:rPr>
              <w:t>7 .</w:t>
            </w:r>
            <w:r w:rsidR="00F5152A">
              <w:rPr>
                <w:rFonts w:asciiTheme="minorHAnsi" w:hAnsiTheme="minorHAnsi" w:eastAsiaTheme="minorEastAsia"/>
                <w:noProof/>
                <w:lang w:val="en-GB" w:eastAsia="en-GB"/>
              </w:rPr>
              <w:tab/>
            </w:r>
            <w:r w:rsidRPr="002C06E7" w:rsidR="00F5152A">
              <w:rPr>
                <w:rStyle w:val="Hyperlink"/>
                <w:noProof/>
                <w:lang w:val="en-GB" w:bidi="en-GB"/>
              </w:rPr>
              <w:t xml:space="preserve">Monitoring compliance with </w:t>
            </w:r>
            <w:r w:rsidR="00B0056C">
              <w:rPr>
                <w:rStyle w:val="Hyperlink"/>
                <w:noProof/>
                <w:lang w:val="en-GB" w:bidi="en-GB"/>
              </w:rPr>
              <w:t>technical requirements</w:t>
            </w:r>
            <w:r w:rsidR="00F5152A">
              <w:rPr>
                <w:noProof/>
                <w:webHidden/>
              </w:rPr>
              <w:tab/>
            </w:r>
            <w:r w:rsidR="00F5152A">
              <w:rPr>
                <w:noProof/>
                <w:webHidden/>
              </w:rPr>
              <w:fldChar w:fldCharType="begin"/>
            </w:r>
            <w:r w:rsidR="00F5152A">
              <w:rPr>
                <w:noProof/>
                <w:webHidden/>
              </w:rPr>
              <w:instrText xml:space="preserve"> PAGEREF _Toc44067836 \h </w:instrText>
            </w:r>
            <w:r w:rsidR="00F5152A">
              <w:rPr>
                <w:noProof/>
                <w:webHidden/>
              </w:rPr>
            </w:r>
            <w:r w:rsidR="00F5152A">
              <w:rPr>
                <w:noProof/>
                <w:webHidden/>
              </w:rPr>
              <w:fldChar w:fldCharType="separate"/>
            </w:r>
            <w:r w:rsidR="00F5152A">
              <w:rPr>
                <w:noProof/>
                <w:webHidden/>
              </w:rPr>
              <w:t>10</w:t>
            </w:r>
            <w:r w:rsidR="00F5152A">
              <w:rPr>
                <w:noProof/>
                <w:webHidden/>
              </w:rPr>
              <w:fldChar w:fldCharType="end"/>
            </w:r>
          </w:hyperlink>
        </w:p>
        <w:p w:rsidR="00F5152A" w:rsidRDefault="0090214F" w14:paraId="395DBD24" w14:textId="1FF8A5DD">
          <w:pPr>
            <w:pStyle w:val="Indholdsfortegnelse1"/>
            <w:rPr>
              <w:rFonts w:asciiTheme="minorHAnsi" w:hAnsiTheme="minorHAnsi" w:eastAsiaTheme="minorEastAsia"/>
              <w:noProof/>
              <w:lang w:val="en-GB" w:eastAsia="en-GB"/>
            </w:rPr>
          </w:pPr>
          <w:hyperlink w:history="1" w:anchor="_Toc44067837">
            <w:r w:rsidRPr="002C06E7" w:rsidR="00F5152A">
              <w:rPr>
                <w:rStyle w:val="Hyperlink"/>
                <w:noProof/>
              </w:rPr>
              <w:t>8 .</w:t>
            </w:r>
            <w:r w:rsidR="00F5152A">
              <w:rPr>
                <w:rFonts w:asciiTheme="minorHAnsi" w:hAnsiTheme="minorHAnsi" w:eastAsiaTheme="minorEastAsia"/>
                <w:noProof/>
                <w:lang w:val="en-GB" w:eastAsia="en-GB"/>
              </w:rPr>
              <w:tab/>
            </w:r>
            <w:r w:rsidRPr="002C06E7" w:rsidR="00F5152A">
              <w:rPr>
                <w:rStyle w:val="Hyperlink"/>
                <w:noProof/>
                <w:lang w:val="en-GB" w:bidi="en-GB"/>
              </w:rPr>
              <w:t>Running payments</w:t>
            </w:r>
            <w:r w:rsidR="00F5152A">
              <w:rPr>
                <w:noProof/>
                <w:webHidden/>
              </w:rPr>
              <w:tab/>
            </w:r>
            <w:r w:rsidR="00F5152A">
              <w:rPr>
                <w:noProof/>
                <w:webHidden/>
              </w:rPr>
              <w:fldChar w:fldCharType="begin"/>
            </w:r>
            <w:r w:rsidR="00F5152A">
              <w:rPr>
                <w:noProof/>
                <w:webHidden/>
              </w:rPr>
              <w:instrText xml:space="preserve"> PAGEREF _Toc44067837 \h </w:instrText>
            </w:r>
            <w:r w:rsidR="00F5152A">
              <w:rPr>
                <w:noProof/>
                <w:webHidden/>
              </w:rPr>
            </w:r>
            <w:r w:rsidR="00F5152A">
              <w:rPr>
                <w:noProof/>
                <w:webHidden/>
              </w:rPr>
              <w:fldChar w:fldCharType="separate"/>
            </w:r>
            <w:r w:rsidR="00F5152A">
              <w:rPr>
                <w:noProof/>
                <w:webHidden/>
              </w:rPr>
              <w:t>10</w:t>
            </w:r>
            <w:r w:rsidR="00F5152A">
              <w:rPr>
                <w:noProof/>
                <w:webHidden/>
              </w:rPr>
              <w:fldChar w:fldCharType="end"/>
            </w:r>
          </w:hyperlink>
        </w:p>
        <w:p w:rsidR="00F5152A" w:rsidRDefault="0090214F" w14:paraId="5C2DDFD3" w14:textId="34D7EA09">
          <w:pPr>
            <w:pStyle w:val="Indholdsfortegnelse1"/>
            <w:rPr>
              <w:rFonts w:asciiTheme="minorHAnsi" w:hAnsiTheme="minorHAnsi" w:eastAsiaTheme="minorEastAsia"/>
              <w:noProof/>
              <w:lang w:val="en-GB" w:eastAsia="en-GB"/>
            </w:rPr>
          </w:pPr>
          <w:hyperlink w:history="1" w:anchor="_Toc44067838">
            <w:r w:rsidRPr="002C06E7" w:rsidR="00F5152A">
              <w:rPr>
                <w:rStyle w:val="Hyperlink"/>
                <w:noProof/>
              </w:rPr>
              <w:t>9 .</w:t>
            </w:r>
            <w:r w:rsidR="00F5152A">
              <w:rPr>
                <w:rFonts w:asciiTheme="minorHAnsi" w:hAnsiTheme="minorHAnsi" w:eastAsiaTheme="minorEastAsia"/>
                <w:noProof/>
                <w:lang w:val="en-GB" w:eastAsia="en-GB"/>
              </w:rPr>
              <w:tab/>
            </w:r>
            <w:r w:rsidRPr="002C06E7" w:rsidR="00F5152A">
              <w:rPr>
                <w:rStyle w:val="Hyperlink"/>
                <w:noProof/>
                <w:lang w:val="en-GB" w:bidi="en-GB"/>
              </w:rPr>
              <w:t>Duration, termination and renegotiation of the Agreement</w:t>
            </w:r>
            <w:r w:rsidR="00F5152A">
              <w:rPr>
                <w:noProof/>
                <w:webHidden/>
              </w:rPr>
              <w:tab/>
            </w:r>
            <w:r w:rsidR="00F5152A">
              <w:rPr>
                <w:noProof/>
                <w:webHidden/>
              </w:rPr>
              <w:fldChar w:fldCharType="begin"/>
            </w:r>
            <w:r w:rsidR="00F5152A">
              <w:rPr>
                <w:noProof/>
                <w:webHidden/>
              </w:rPr>
              <w:instrText xml:space="preserve"> PAGEREF _Toc44067838 \h </w:instrText>
            </w:r>
            <w:r w:rsidR="00F5152A">
              <w:rPr>
                <w:noProof/>
                <w:webHidden/>
              </w:rPr>
            </w:r>
            <w:r w:rsidR="00F5152A">
              <w:rPr>
                <w:noProof/>
                <w:webHidden/>
              </w:rPr>
              <w:fldChar w:fldCharType="separate"/>
            </w:r>
            <w:r w:rsidR="00F5152A">
              <w:rPr>
                <w:noProof/>
                <w:webHidden/>
              </w:rPr>
              <w:t>11</w:t>
            </w:r>
            <w:r w:rsidR="00F5152A">
              <w:rPr>
                <w:noProof/>
                <w:webHidden/>
              </w:rPr>
              <w:fldChar w:fldCharType="end"/>
            </w:r>
          </w:hyperlink>
        </w:p>
        <w:p w:rsidR="00F5152A" w:rsidRDefault="0090214F" w14:paraId="66F08202" w14:textId="2DE8515B">
          <w:pPr>
            <w:pStyle w:val="Indholdsfortegnelse1"/>
            <w:rPr>
              <w:rFonts w:asciiTheme="minorHAnsi" w:hAnsiTheme="minorHAnsi" w:eastAsiaTheme="minorEastAsia"/>
              <w:noProof/>
              <w:lang w:val="en-GB" w:eastAsia="en-GB"/>
            </w:rPr>
          </w:pPr>
          <w:hyperlink w:history="1" w:anchor="_Toc44067839">
            <w:r w:rsidRPr="002C06E7" w:rsidR="00F5152A">
              <w:rPr>
                <w:rStyle w:val="Hyperlink"/>
                <w:noProof/>
              </w:rPr>
              <w:t>10 .</w:t>
            </w:r>
            <w:r w:rsidR="00F5152A">
              <w:rPr>
                <w:rFonts w:asciiTheme="minorHAnsi" w:hAnsiTheme="minorHAnsi" w:eastAsiaTheme="minorEastAsia"/>
                <w:noProof/>
                <w:lang w:val="en-GB" w:eastAsia="en-GB"/>
              </w:rPr>
              <w:tab/>
            </w:r>
            <w:r w:rsidRPr="002C06E7" w:rsidR="00F5152A">
              <w:rPr>
                <w:rStyle w:val="Hyperlink"/>
                <w:noProof/>
                <w:lang w:val="en-GB" w:bidi="en-GB"/>
              </w:rPr>
              <w:t>Breach and interruption of the electrical connection</w:t>
            </w:r>
            <w:r w:rsidR="00F5152A">
              <w:rPr>
                <w:noProof/>
                <w:webHidden/>
              </w:rPr>
              <w:tab/>
            </w:r>
            <w:r w:rsidR="00F5152A">
              <w:rPr>
                <w:noProof/>
                <w:webHidden/>
              </w:rPr>
              <w:fldChar w:fldCharType="begin"/>
            </w:r>
            <w:r w:rsidR="00F5152A">
              <w:rPr>
                <w:noProof/>
                <w:webHidden/>
              </w:rPr>
              <w:instrText xml:space="preserve"> PAGEREF _Toc44067839 \h </w:instrText>
            </w:r>
            <w:r w:rsidR="00F5152A">
              <w:rPr>
                <w:noProof/>
                <w:webHidden/>
              </w:rPr>
            </w:r>
            <w:r w:rsidR="00F5152A">
              <w:rPr>
                <w:noProof/>
                <w:webHidden/>
              </w:rPr>
              <w:fldChar w:fldCharType="separate"/>
            </w:r>
            <w:r w:rsidR="00F5152A">
              <w:rPr>
                <w:noProof/>
                <w:webHidden/>
              </w:rPr>
              <w:t>11</w:t>
            </w:r>
            <w:r w:rsidR="00F5152A">
              <w:rPr>
                <w:noProof/>
                <w:webHidden/>
              </w:rPr>
              <w:fldChar w:fldCharType="end"/>
            </w:r>
          </w:hyperlink>
        </w:p>
        <w:p w:rsidR="00F5152A" w:rsidRDefault="0090214F" w14:paraId="33B87732" w14:textId="5B79F640">
          <w:pPr>
            <w:pStyle w:val="Indholdsfortegnelse1"/>
            <w:rPr>
              <w:rFonts w:asciiTheme="minorHAnsi" w:hAnsiTheme="minorHAnsi" w:eastAsiaTheme="minorEastAsia"/>
              <w:noProof/>
              <w:lang w:val="en-GB" w:eastAsia="en-GB"/>
            </w:rPr>
          </w:pPr>
          <w:hyperlink w:history="1" w:anchor="_Toc44067840">
            <w:r w:rsidRPr="002C06E7" w:rsidR="00F5152A">
              <w:rPr>
                <w:rStyle w:val="Hyperlink"/>
                <w:noProof/>
              </w:rPr>
              <w:t>11 .</w:t>
            </w:r>
            <w:r w:rsidR="00F5152A">
              <w:rPr>
                <w:rFonts w:asciiTheme="minorHAnsi" w:hAnsiTheme="minorHAnsi" w:eastAsiaTheme="minorEastAsia"/>
                <w:noProof/>
                <w:lang w:val="en-GB" w:eastAsia="en-GB"/>
              </w:rPr>
              <w:tab/>
            </w:r>
            <w:r w:rsidRPr="002C06E7" w:rsidR="00F5152A">
              <w:rPr>
                <w:rStyle w:val="Hyperlink"/>
                <w:noProof/>
                <w:lang w:val="en-GB" w:bidi="en-GB"/>
              </w:rPr>
              <w:t>Other conditions</w:t>
            </w:r>
            <w:r w:rsidR="00F5152A">
              <w:rPr>
                <w:noProof/>
                <w:webHidden/>
              </w:rPr>
              <w:tab/>
            </w:r>
            <w:r w:rsidR="00F5152A">
              <w:rPr>
                <w:noProof/>
                <w:webHidden/>
              </w:rPr>
              <w:fldChar w:fldCharType="begin"/>
            </w:r>
            <w:r w:rsidR="00F5152A">
              <w:rPr>
                <w:noProof/>
                <w:webHidden/>
              </w:rPr>
              <w:instrText xml:space="preserve"> PAGEREF _Toc44067840 \h </w:instrText>
            </w:r>
            <w:r w:rsidR="00F5152A">
              <w:rPr>
                <w:noProof/>
                <w:webHidden/>
              </w:rPr>
            </w:r>
            <w:r w:rsidR="00F5152A">
              <w:rPr>
                <w:noProof/>
                <w:webHidden/>
              </w:rPr>
              <w:fldChar w:fldCharType="separate"/>
            </w:r>
            <w:r w:rsidR="00F5152A">
              <w:rPr>
                <w:noProof/>
                <w:webHidden/>
              </w:rPr>
              <w:t>12</w:t>
            </w:r>
            <w:r w:rsidR="00F5152A">
              <w:rPr>
                <w:noProof/>
                <w:webHidden/>
              </w:rPr>
              <w:fldChar w:fldCharType="end"/>
            </w:r>
          </w:hyperlink>
        </w:p>
        <w:p w:rsidR="00F5152A" w:rsidRDefault="0090214F" w14:paraId="46C1854B" w14:textId="271D9A65">
          <w:pPr>
            <w:pStyle w:val="Indholdsfortegnelse1"/>
            <w:rPr>
              <w:rFonts w:asciiTheme="minorHAnsi" w:hAnsiTheme="minorHAnsi" w:eastAsiaTheme="minorEastAsia"/>
              <w:noProof/>
              <w:lang w:val="en-GB" w:eastAsia="en-GB"/>
            </w:rPr>
          </w:pPr>
          <w:hyperlink w:history="1" w:anchor="_Toc44067841">
            <w:r w:rsidRPr="002C06E7" w:rsidR="00F5152A">
              <w:rPr>
                <w:rStyle w:val="Hyperlink"/>
                <w:noProof/>
              </w:rPr>
              <w:t>12 .</w:t>
            </w:r>
            <w:r w:rsidR="00F5152A">
              <w:rPr>
                <w:rFonts w:asciiTheme="minorHAnsi" w:hAnsiTheme="minorHAnsi" w:eastAsiaTheme="minorEastAsia"/>
                <w:noProof/>
                <w:lang w:val="en-GB" w:eastAsia="en-GB"/>
              </w:rPr>
              <w:tab/>
            </w:r>
            <w:r w:rsidRPr="002C06E7" w:rsidR="00F5152A">
              <w:rPr>
                <w:rStyle w:val="Hyperlink"/>
                <w:noProof/>
                <w:lang w:val="en-GB" w:bidi="en-GB"/>
              </w:rPr>
              <w:t>Disputes</w:t>
            </w:r>
            <w:r w:rsidR="00F5152A">
              <w:rPr>
                <w:noProof/>
                <w:webHidden/>
              </w:rPr>
              <w:tab/>
            </w:r>
            <w:r w:rsidR="00F5152A">
              <w:rPr>
                <w:noProof/>
                <w:webHidden/>
              </w:rPr>
              <w:fldChar w:fldCharType="begin"/>
            </w:r>
            <w:r w:rsidR="00F5152A">
              <w:rPr>
                <w:noProof/>
                <w:webHidden/>
              </w:rPr>
              <w:instrText xml:space="preserve"> PAGEREF _Toc44067841 \h </w:instrText>
            </w:r>
            <w:r w:rsidR="00F5152A">
              <w:rPr>
                <w:noProof/>
                <w:webHidden/>
              </w:rPr>
            </w:r>
            <w:r w:rsidR="00F5152A">
              <w:rPr>
                <w:noProof/>
                <w:webHidden/>
              </w:rPr>
              <w:fldChar w:fldCharType="separate"/>
            </w:r>
            <w:r w:rsidR="00F5152A">
              <w:rPr>
                <w:noProof/>
                <w:webHidden/>
              </w:rPr>
              <w:t>13</w:t>
            </w:r>
            <w:r w:rsidR="00F5152A">
              <w:rPr>
                <w:noProof/>
                <w:webHidden/>
              </w:rPr>
              <w:fldChar w:fldCharType="end"/>
            </w:r>
          </w:hyperlink>
        </w:p>
        <w:p w:rsidR="00F5152A" w:rsidRDefault="0090214F" w14:paraId="092356B5" w14:textId="22C0794A">
          <w:pPr>
            <w:pStyle w:val="Indholdsfortegnelse1"/>
            <w:rPr>
              <w:rFonts w:asciiTheme="minorHAnsi" w:hAnsiTheme="minorHAnsi" w:eastAsiaTheme="minorEastAsia"/>
              <w:noProof/>
              <w:lang w:val="en-GB" w:eastAsia="en-GB"/>
            </w:rPr>
          </w:pPr>
          <w:hyperlink w:history="1" w:anchor="_Toc44067842">
            <w:r w:rsidRPr="002C06E7" w:rsidR="00F5152A">
              <w:rPr>
                <w:rStyle w:val="Hyperlink"/>
                <w:noProof/>
              </w:rPr>
              <w:t>13 .</w:t>
            </w:r>
            <w:r w:rsidR="00F5152A">
              <w:rPr>
                <w:rFonts w:asciiTheme="minorHAnsi" w:hAnsiTheme="minorHAnsi" w:eastAsiaTheme="minorEastAsia"/>
                <w:noProof/>
                <w:lang w:val="en-GB" w:eastAsia="en-GB"/>
              </w:rPr>
              <w:tab/>
            </w:r>
            <w:r w:rsidRPr="002C06E7" w:rsidR="00F5152A">
              <w:rPr>
                <w:rStyle w:val="Hyperlink"/>
                <w:noProof/>
                <w:lang w:val="en-GB" w:bidi="en-GB"/>
              </w:rPr>
              <w:t>Copies</w:t>
            </w:r>
            <w:r w:rsidR="00F5152A">
              <w:rPr>
                <w:noProof/>
                <w:webHidden/>
              </w:rPr>
              <w:tab/>
            </w:r>
            <w:r w:rsidR="00F5152A">
              <w:rPr>
                <w:noProof/>
                <w:webHidden/>
              </w:rPr>
              <w:fldChar w:fldCharType="begin"/>
            </w:r>
            <w:r w:rsidR="00F5152A">
              <w:rPr>
                <w:noProof/>
                <w:webHidden/>
              </w:rPr>
              <w:instrText xml:space="preserve"> PAGEREF _Toc44067842 \h </w:instrText>
            </w:r>
            <w:r w:rsidR="00F5152A">
              <w:rPr>
                <w:noProof/>
                <w:webHidden/>
              </w:rPr>
            </w:r>
            <w:r w:rsidR="00F5152A">
              <w:rPr>
                <w:noProof/>
                <w:webHidden/>
              </w:rPr>
              <w:fldChar w:fldCharType="separate"/>
            </w:r>
            <w:r w:rsidR="00F5152A">
              <w:rPr>
                <w:noProof/>
                <w:webHidden/>
              </w:rPr>
              <w:t>13</w:t>
            </w:r>
            <w:r w:rsidR="00F5152A">
              <w:rPr>
                <w:noProof/>
                <w:webHidden/>
              </w:rPr>
              <w:fldChar w:fldCharType="end"/>
            </w:r>
          </w:hyperlink>
        </w:p>
        <w:p w:rsidRPr="007330FC" w:rsidR="00B13C86" w:rsidP="00CE1954" w:rsidRDefault="00B13C86" w14:paraId="6CD10B98" w14:textId="2BC203AB">
          <w:pPr>
            <w:numPr>
              <w:ilvl w:val="0"/>
              <w:numId w:val="0"/>
            </w:numPr>
          </w:pPr>
          <w:r w:rsidRPr="007330FC">
            <w:rPr>
              <w:b/>
              <w:noProof/>
              <w:lang w:val="en-GB" w:bidi="en-GB"/>
            </w:rPr>
            <w:fldChar w:fldCharType="end"/>
          </w:r>
        </w:p>
      </w:sdtContent>
    </w:sdt>
    <w:p w:rsidRPr="007330FC" w:rsidR="00595858" w:rsidP="00AE1991" w:rsidRDefault="00595858" w14:paraId="3C1E6794" w14:textId="77777777">
      <w:pPr>
        <w:pStyle w:val="Ingenafstand"/>
        <w:ind w:left="0"/>
      </w:pPr>
    </w:p>
    <w:p w:rsidRPr="007330FC" w:rsidR="00052CDE" w:rsidP="00511CF0" w:rsidRDefault="00052CDE" w14:paraId="189C6BE6" w14:textId="77777777">
      <w:pPr>
        <w:pStyle w:val="Ingenafstand"/>
      </w:pPr>
    </w:p>
    <w:p w:rsidRPr="007330FC" w:rsidR="00052CDE" w:rsidP="000612B8" w:rsidRDefault="00052CDE" w14:paraId="43E4247B" w14:textId="34F8283D">
      <w:pPr>
        <w:pStyle w:val="Ingenafstand"/>
        <w:ind w:left="0"/>
        <w:rPr>
          <w:sz w:val="40"/>
        </w:rPr>
      </w:pPr>
      <w:r w:rsidRPr="007330FC">
        <w:rPr>
          <w:sz w:val="40"/>
          <w:lang w:val="en-GB" w:bidi="en-GB"/>
        </w:rPr>
        <w:t>List of appendices</w:t>
      </w:r>
    </w:p>
    <w:p w:rsidRPr="007330FC" w:rsidR="005F2853" w:rsidP="000612B8" w:rsidRDefault="005F2853" w14:paraId="2F2C7897" w14:textId="77777777">
      <w:pPr>
        <w:pStyle w:val="Ingenafstand"/>
        <w:ind w:left="0"/>
        <w:rPr>
          <w:sz w:val="40"/>
        </w:rPr>
      </w:pPr>
    </w:p>
    <w:tbl>
      <w:tblPr>
        <w:tblStyle w:val="Tabel-Git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5"/>
        <w:gridCol w:w="7643"/>
      </w:tblGrid>
      <w:tr w:rsidRPr="007330FC" w:rsidR="00200CDA" w:rsidTr="00BA5CAA" w14:paraId="6027A082" w14:textId="77777777">
        <w:tc>
          <w:tcPr>
            <w:tcW w:w="1985" w:type="dxa"/>
          </w:tcPr>
          <w:p w:rsidRPr="007330FC" w:rsidR="00200CDA" w:rsidP="00315DA2" w:rsidRDefault="00200CDA" w14:paraId="473A877B" w14:textId="77777777">
            <w:pPr>
              <w:pStyle w:val="Ingenafstand"/>
              <w:ind w:left="0"/>
              <w:rPr>
                <w:b/>
              </w:rPr>
            </w:pPr>
            <w:r w:rsidRPr="007330FC">
              <w:rPr>
                <w:b/>
                <w:lang w:val="en-GB" w:bidi="en-GB"/>
              </w:rPr>
              <w:t>Appendix 1</w:t>
            </w:r>
          </w:p>
        </w:tc>
        <w:tc>
          <w:tcPr>
            <w:tcW w:w="7643" w:type="dxa"/>
            <w:vAlign w:val="bottom"/>
          </w:tcPr>
          <w:p w:rsidRPr="007330FC" w:rsidR="00200CDA" w:rsidP="00315DA2" w:rsidRDefault="005F2853" w14:paraId="2B6C5C24" w14:textId="389ACD8C">
            <w:pPr>
              <w:pStyle w:val="Ingenafstand"/>
              <w:ind w:left="0"/>
            </w:pPr>
            <w:r w:rsidRPr="007330FC">
              <w:rPr>
                <w:lang w:val="en-GB" w:bidi="en-GB"/>
              </w:rPr>
              <w:t>Basis for the grid connection</w:t>
            </w:r>
          </w:p>
          <w:p w:rsidRPr="007330FC" w:rsidR="00200CDA" w:rsidP="00315DA2" w:rsidRDefault="00200CDA" w14:paraId="77179E7A" w14:textId="77777777">
            <w:pPr>
              <w:pStyle w:val="Ingenafstand"/>
              <w:ind w:left="0"/>
            </w:pPr>
          </w:p>
        </w:tc>
      </w:tr>
      <w:tr w:rsidRPr="007330FC" w:rsidR="00200CDA" w:rsidTr="00BA5CAA" w14:paraId="643A21D5" w14:textId="77777777">
        <w:tc>
          <w:tcPr>
            <w:tcW w:w="1985" w:type="dxa"/>
          </w:tcPr>
          <w:p w:rsidRPr="007330FC" w:rsidR="00200CDA" w:rsidP="00315DA2" w:rsidRDefault="00200CDA" w14:paraId="6B459488" w14:textId="77777777">
            <w:pPr>
              <w:pStyle w:val="Ingenafstand"/>
              <w:ind w:left="0"/>
              <w:rPr>
                <w:b/>
              </w:rPr>
            </w:pPr>
            <w:r w:rsidRPr="007330FC">
              <w:rPr>
                <w:b/>
                <w:lang w:val="en-GB" w:bidi="en-GB"/>
              </w:rPr>
              <w:t>Appendix 2</w:t>
            </w:r>
          </w:p>
        </w:tc>
        <w:tc>
          <w:tcPr>
            <w:tcW w:w="7643" w:type="dxa"/>
            <w:vAlign w:val="bottom"/>
          </w:tcPr>
          <w:p w:rsidRPr="007330FC" w:rsidR="00200CDA" w:rsidP="00315DA2" w:rsidRDefault="005F2853" w14:paraId="67602887" w14:textId="1964A396">
            <w:pPr>
              <w:pStyle w:val="Ingenafstand"/>
              <w:ind w:left="0"/>
            </w:pPr>
            <w:r w:rsidRPr="007330FC">
              <w:rPr>
                <w:lang w:val="en-GB" w:bidi="en-GB"/>
              </w:rPr>
              <w:t>Schedule and payments</w:t>
            </w:r>
          </w:p>
          <w:p w:rsidRPr="007330FC" w:rsidR="00200CDA" w:rsidP="00315DA2" w:rsidRDefault="00200CDA" w14:paraId="6EFFBE73" w14:textId="77777777">
            <w:pPr>
              <w:pStyle w:val="Ingenafstand"/>
              <w:ind w:left="0"/>
            </w:pPr>
          </w:p>
        </w:tc>
      </w:tr>
      <w:tr w:rsidRPr="007330FC" w:rsidR="00200CDA" w:rsidTr="00BA5CAA" w14:paraId="145FE0BA" w14:textId="77777777">
        <w:tc>
          <w:tcPr>
            <w:tcW w:w="1985" w:type="dxa"/>
          </w:tcPr>
          <w:p w:rsidRPr="007330FC" w:rsidR="00200CDA" w:rsidP="00315DA2" w:rsidRDefault="00200CDA" w14:paraId="2530E37D" w14:textId="77777777">
            <w:pPr>
              <w:pStyle w:val="Ingenafstand"/>
              <w:ind w:left="0"/>
              <w:rPr>
                <w:b/>
              </w:rPr>
            </w:pPr>
            <w:r w:rsidRPr="007330FC">
              <w:rPr>
                <w:b/>
                <w:lang w:val="en-GB" w:bidi="en-GB"/>
              </w:rPr>
              <w:t>Appendix 3</w:t>
            </w:r>
          </w:p>
        </w:tc>
        <w:tc>
          <w:tcPr>
            <w:tcW w:w="7643" w:type="dxa"/>
            <w:vAlign w:val="bottom"/>
          </w:tcPr>
          <w:p w:rsidRPr="007330FC" w:rsidR="00200CDA" w:rsidP="00315DA2" w:rsidRDefault="005F2853" w14:paraId="5F93F698" w14:textId="4CCD69B0">
            <w:pPr>
              <w:pStyle w:val="Ingenafstand"/>
              <w:ind w:left="0"/>
            </w:pPr>
            <w:r w:rsidRPr="007330FC">
              <w:rPr>
                <w:lang w:val="en-GB" w:bidi="en-GB"/>
              </w:rPr>
              <w:t xml:space="preserve">Technical </w:t>
            </w:r>
            <w:r w:rsidR="00794FA7">
              <w:rPr>
                <w:lang w:val="en-GB" w:bidi="en-GB"/>
              </w:rPr>
              <w:t>data</w:t>
            </w:r>
          </w:p>
          <w:p w:rsidRPr="007330FC" w:rsidR="00200CDA" w:rsidP="00315DA2" w:rsidRDefault="00200CDA" w14:paraId="4A680A4C" w14:textId="77777777">
            <w:pPr>
              <w:pStyle w:val="Ingenafstand"/>
              <w:ind w:left="0"/>
            </w:pPr>
          </w:p>
        </w:tc>
      </w:tr>
      <w:tr w:rsidRPr="007330FC" w:rsidR="00200CDA" w:rsidTr="00BA5CAA" w14:paraId="042AB7E2" w14:textId="77777777">
        <w:tc>
          <w:tcPr>
            <w:tcW w:w="1985" w:type="dxa"/>
          </w:tcPr>
          <w:p w:rsidRPr="007330FC" w:rsidR="00200CDA" w:rsidP="00315DA2" w:rsidRDefault="00200CDA" w14:paraId="3D3CEE40" w14:textId="0409AACA">
            <w:pPr>
              <w:pStyle w:val="Ingenafstand"/>
              <w:ind w:left="0"/>
              <w:rPr>
                <w:b/>
              </w:rPr>
            </w:pPr>
            <w:r w:rsidRPr="007330FC">
              <w:rPr>
                <w:b/>
                <w:lang w:val="en-GB" w:bidi="en-GB"/>
              </w:rPr>
              <w:t>Appendix 4</w:t>
            </w:r>
          </w:p>
        </w:tc>
        <w:tc>
          <w:tcPr>
            <w:tcW w:w="7643" w:type="dxa"/>
            <w:vAlign w:val="bottom"/>
          </w:tcPr>
          <w:p w:rsidRPr="007330FC" w:rsidR="00200CDA" w:rsidP="00315DA2" w:rsidRDefault="005F2853" w14:paraId="6A78C44A" w14:textId="0C8BC708">
            <w:pPr>
              <w:pStyle w:val="Ingenafstand"/>
              <w:ind w:left="0"/>
            </w:pPr>
            <w:r w:rsidRPr="007330FC">
              <w:rPr>
                <w:lang w:val="en-GB" w:bidi="en-GB"/>
              </w:rPr>
              <w:t>Special conditions and requirements for the grid connection</w:t>
            </w:r>
          </w:p>
          <w:p w:rsidRPr="007330FC" w:rsidR="00200CDA" w:rsidP="00315DA2" w:rsidRDefault="00200CDA" w14:paraId="360F4DDC" w14:textId="77777777">
            <w:pPr>
              <w:pStyle w:val="Ingenafstand"/>
              <w:ind w:left="0"/>
            </w:pPr>
          </w:p>
        </w:tc>
      </w:tr>
      <w:tr w:rsidRPr="007330FC" w:rsidR="00200CDA" w:rsidTr="00BA5CAA" w14:paraId="23076D00" w14:textId="77777777">
        <w:tc>
          <w:tcPr>
            <w:tcW w:w="1985" w:type="dxa"/>
          </w:tcPr>
          <w:p w:rsidRPr="007330FC" w:rsidR="00200CDA" w:rsidP="00315DA2" w:rsidRDefault="00200CDA" w14:paraId="75DD0D19" w14:textId="7BDB1C4F">
            <w:pPr>
              <w:pStyle w:val="Ingenafstand"/>
              <w:ind w:left="0"/>
              <w:rPr>
                <w:b/>
              </w:rPr>
            </w:pPr>
            <w:r w:rsidRPr="007330FC">
              <w:rPr>
                <w:b/>
                <w:lang w:val="en-GB" w:bidi="en-GB"/>
              </w:rPr>
              <w:t>Appendix 5</w:t>
            </w:r>
          </w:p>
        </w:tc>
        <w:tc>
          <w:tcPr>
            <w:tcW w:w="7643" w:type="dxa"/>
            <w:vAlign w:val="bottom"/>
          </w:tcPr>
          <w:p w:rsidRPr="007330FC" w:rsidR="00200CDA" w:rsidP="00315DA2" w:rsidRDefault="004D4481" w14:paraId="3C4C7A88" w14:textId="7F5C67FE">
            <w:pPr>
              <w:pStyle w:val="Ingenafstand"/>
              <w:ind w:left="0"/>
            </w:pPr>
            <w:r w:rsidRPr="007330FC">
              <w:rPr>
                <w:lang w:val="en-GB" w:bidi="en-GB"/>
              </w:rPr>
              <w:t xml:space="preserve">Technical documentation for the demand facility as per the technical </w:t>
            </w:r>
            <w:r w:rsidR="00794FA7">
              <w:rPr>
                <w:lang w:val="en-GB" w:bidi="en-GB"/>
              </w:rPr>
              <w:t>requirements</w:t>
            </w:r>
            <w:r w:rsidRPr="007330FC" w:rsidR="00794FA7">
              <w:rPr>
                <w:lang w:val="en-GB" w:bidi="en-GB"/>
              </w:rPr>
              <w:t xml:space="preserve"> </w:t>
            </w:r>
          </w:p>
          <w:p w:rsidRPr="007330FC" w:rsidR="00200CDA" w:rsidP="005F2853" w:rsidRDefault="00200CDA" w14:paraId="3A672BC8" w14:textId="77777777">
            <w:pPr>
              <w:pStyle w:val="Ingenafstand"/>
              <w:ind w:left="0"/>
            </w:pPr>
          </w:p>
        </w:tc>
      </w:tr>
      <w:tr w:rsidRPr="007330FC" w:rsidR="005F2853" w:rsidTr="00BA5CAA" w14:paraId="6D33DA6A" w14:textId="77777777">
        <w:tc>
          <w:tcPr>
            <w:tcW w:w="1985" w:type="dxa"/>
          </w:tcPr>
          <w:p w:rsidRPr="007330FC" w:rsidR="005F2853" w:rsidP="00315DA2" w:rsidRDefault="005F2853" w14:paraId="6142142D" w14:textId="0AA295AE">
            <w:pPr>
              <w:pStyle w:val="Ingenafstand"/>
              <w:ind w:left="0"/>
              <w:rPr>
                <w:b/>
              </w:rPr>
            </w:pPr>
            <w:r w:rsidRPr="007330FC">
              <w:rPr>
                <w:b/>
                <w:lang w:val="en-GB" w:bidi="en-GB"/>
              </w:rPr>
              <w:t>Appendix 6</w:t>
            </w:r>
          </w:p>
        </w:tc>
        <w:tc>
          <w:tcPr>
            <w:tcW w:w="7643" w:type="dxa"/>
            <w:vAlign w:val="bottom"/>
          </w:tcPr>
          <w:p w:rsidRPr="007330FC" w:rsidR="005F2853" w:rsidP="00315DA2" w:rsidRDefault="004D4481" w14:paraId="4E2B5714" w14:textId="0C1EC488">
            <w:pPr>
              <w:pStyle w:val="Ingenafstand"/>
              <w:ind w:left="0"/>
            </w:pPr>
            <w:r w:rsidRPr="007330FC">
              <w:rPr>
                <w:lang w:val="en-GB" w:bidi="en-GB"/>
              </w:rPr>
              <w:t xml:space="preserve">Operational notifications </w:t>
            </w:r>
          </w:p>
          <w:p w:rsidRPr="007330FC" w:rsidR="00BA5CAA" w:rsidP="00315DA2" w:rsidRDefault="00BA5CAA" w14:paraId="3F0CE82D" w14:textId="6EF528CE">
            <w:pPr>
              <w:pStyle w:val="Ingenafstand"/>
              <w:ind w:left="0"/>
            </w:pPr>
          </w:p>
        </w:tc>
      </w:tr>
      <w:tr w:rsidRPr="007330FC" w:rsidR="005F2853" w:rsidTr="00BA5CAA" w14:paraId="6C551F2F" w14:textId="77777777">
        <w:tc>
          <w:tcPr>
            <w:tcW w:w="1985" w:type="dxa"/>
          </w:tcPr>
          <w:p w:rsidRPr="007330FC" w:rsidR="005F2853" w:rsidP="00315DA2" w:rsidRDefault="005F2853" w14:paraId="430D9C16" w14:textId="4526C9AC">
            <w:pPr>
              <w:pStyle w:val="Ingenafstand"/>
              <w:ind w:left="0"/>
              <w:rPr>
                <w:b/>
              </w:rPr>
            </w:pPr>
            <w:r w:rsidRPr="007330FC">
              <w:rPr>
                <w:b/>
                <w:lang w:val="en-GB" w:bidi="en-GB"/>
              </w:rPr>
              <w:t>Appendix 7</w:t>
            </w:r>
          </w:p>
        </w:tc>
        <w:tc>
          <w:tcPr>
            <w:tcW w:w="7643" w:type="dxa"/>
            <w:vAlign w:val="bottom"/>
          </w:tcPr>
          <w:p w:rsidRPr="007330FC" w:rsidR="009B2685" w:rsidP="009822C0" w:rsidRDefault="00957EA2" w14:paraId="7C29D81F" w14:textId="170E6872">
            <w:pPr>
              <w:pStyle w:val="Ingenafstand"/>
              <w:ind w:left="0"/>
            </w:pPr>
            <w:r w:rsidRPr="007330FC">
              <w:rPr>
                <w:lang w:val="en-GB" w:bidi="en-GB"/>
              </w:rPr>
              <w:t xml:space="preserve">Relevant </w:t>
            </w:r>
            <w:r w:rsidR="00794FA7">
              <w:rPr>
                <w:lang w:val="en-GB" w:bidi="en-GB"/>
              </w:rPr>
              <w:t>legislation</w:t>
            </w:r>
            <w:r w:rsidRPr="007330FC" w:rsidR="00794FA7">
              <w:rPr>
                <w:lang w:val="en-GB" w:bidi="en-GB"/>
              </w:rPr>
              <w:t xml:space="preserve"> </w:t>
            </w:r>
            <w:r w:rsidRPr="007330FC">
              <w:rPr>
                <w:lang w:val="en-GB" w:bidi="en-GB"/>
              </w:rPr>
              <w:t>and regulations</w:t>
            </w:r>
          </w:p>
        </w:tc>
      </w:tr>
    </w:tbl>
    <w:p w:rsidRPr="007330FC" w:rsidR="000E2939" w:rsidP="000612B8" w:rsidRDefault="000E2939" w14:paraId="6AD4AC2D" w14:textId="77777777">
      <w:pPr>
        <w:pStyle w:val="Ingenafstand"/>
        <w:ind w:left="0"/>
      </w:pPr>
    </w:p>
    <w:p w:rsidRPr="007330FC" w:rsidR="009F45E2" w:rsidP="00511CF0" w:rsidRDefault="009F45E2" w14:paraId="64445F89" w14:textId="77777777">
      <w:pPr>
        <w:pStyle w:val="Ingenafstand"/>
      </w:pPr>
    </w:p>
    <w:p w:rsidRPr="007330FC" w:rsidR="009F45E2" w:rsidP="00511CF0" w:rsidRDefault="009F45E2" w14:paraId="2E11FF0F" w14:textId="77777777">
      <w:pPr>
        <w:pStyle w:val="Ingenafstand"/>
      </w:pPr>
      <w:r w:rsidRPr="007330FC">
        <w:rPr>
          <w:lang w:val="en-GB" w:bidi="en-GB"/>
        </w:rPr>
        <w:br w:type="page"/>
      </w:r>
    </w:p>
    <w:p w:rsidRPr="007330FC" w:rsidR="005A694E" w:rsidP="004A3F9C" w:rsidRDefault="005A694E" w14:paraId="3612F260" w14:textId="11BFC883">
      <w:pPr>
        <w:numPr>
          <w:ilvl w:val="0"/>
          <w:numId w:val="0"/>
        </w:numPr>
        <w:spacing w:line="320" w:lineRule="atLeast"/>
        <w:ind w:left="578" w:hanging="578"/>
        <w:rPr>
          <w:rFonts w:cs="Arial"/>
          <w:sz w:val="40"/>
          <w:szCs w:val="40"/>
        </w:rPr>
      </w:pPr>
      <w:r w:rsidRPr="007330FC">
        <w:rPr>
          <w:rFonts w:cs="Arial"/>
          <w:sz w:val="40"/>
          <w:szCs w:val="40"/>
          <w:lang w:val="en-GB" w:bidi="en-GB"/>
        </w:rPr>
        <w:lastRenderedPageBreak/>
        <w:t>Definitions</w:t>
      </w:r>
    </w:p>
    <w:p w:rsidRPr="007330FC" w:rsidR="00F74A6D" w:rsidP="00F74A6D" w:rsidRDefault="00F74A6D" w14:paraId="3F7AB1CE" w14:textId="3AEE4EF4">
      <w:pPr>
        <w:pStyle w:val="Ingenafstand"/>
        <w:ind w:left="0"/>
      </w:pPr>
    </w:p>
    <w:p w:rsidRPr="007330FC" w:rsidR="00F74A6D" w:rsidP="00F74A6D" w:rsidRDefault="00F74A6D" w14:paraId="6357CB7E" w14:textId="501B6DD7">
      <w:pPr>
        <w:pStyle w:val="Ingenafstand"/>
        <w:ind w:left="0"/>
      </w:pPr>
    </w:p>
    <w:tbl>
      <w:tblPr>
        <w:tblStyle w:val="Tabel-Git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39"/>
        <w:gridCol w:w="6089"/>
      </w:tblGrid>
      <w:tr w:rsidRPr="007330FC" w:rsidR="00FF0DFA" w:rsidTr="00325C5D" w14:paraId="2E42F8F8" w14:textId="77777777">
        <w:tc>
          <w:tcPr>
            <w:tcW w:w="3539" w:type="dxa"/>
          </w:tcPr>
          <w:p w:rsidRPr="007330FC" w:rsidR="00FF0DFA" w:rsidP="00F74A6D" w:rsidRDefault="00FF0DFA" w14:paraId="5EC73E2F" w14:textId="46A6AC7C">
            <w:pPr>
              <w:pStyle w:val="Ingenafstand"/>
              <w:ind w:left="0"/>
              <w:rPr>
                <w:b/>
              </w:rPr>
            </w:pPr>
            <w:r w:rsidRPr="007330FC">
              <w:rPr>
                <w:rFonts w:cs="Arial"/>
                <w:b/>
                <w:lang w:val="en-GB" w:bidi="en-GB"/>
              </w:rPr>
              <w:t>Settlement meter</w:t>
            </w:r>
            <w:r w:rsidRPr="007330FC">
              <w:rPr>
                <w:rFonts w:cs="Arial"/>
                <w:b/>
                <w:lang w:val="en-GB" w:bidi="en-GB"/>
              </w:rPr>
              <w:tab/>
            </w:r>
          </w:p>
        </w:tc>
        <w:tc>
          <w:tcPr>
            <w:tcW w:w="6089" w:type="dxa"/>
          </w:tcPr>
          <w:p w:rsidRPr="007330FC" w:rsidR="00FF0DFA" w:rsidP="00F74A6D" w:rsidRDefault="00FF0DFA" w14:paraId="7B4DADC4" w14:textId="1EC9A9EB">
            <w:pPr>
              <w:pStyle w:val="Ingenafstand"/>
              <w:ind w:left="0"/>
            </w:pPr>
            <w:r w:rsidRPr="007330FC">
              <w:rPr>
                <w:lang w:val="en-GB" w:bidi="en-GB"/>
              </w:rPr>
              <w:t xml:space="preserve">Meter used to measure electrical energy for settlement purposes. For the purposes of this Agreement, the term ‘settlement meter’ also includes </w:t>
            </w:r>
            <w:r w:rsidR="002B4B10">
              <w:rPr>
                <w:lang w:val="en-GB" w:bidi="en-GB"/>
              </w:rPr>
              <w:t xml:space="preserve">supplementary </w:t>
            </w:r>
            <w:r w:rsidRPr="007330FC">
              <w:rPr>
                <w:lang w:val="en-GB" w:bidi="en-GB"/>
              </w:rPr>
              <w:t xml:space="preserve">meters. </w:t>
            </w:r>
          </w:p>
          <w:p w:rsidRPr="007330FC" w:rsidR="00F15BA9" w:rsidP="00F74A6D" w:rsidRDefault="00F15BA9" w14:paraId="1CA9843E" w14:textId="6175B27F">
            <w:pPr>
              <w:pStyle w:val="Ingenafstand"/>
              <w:ind w:left="0"/>
            </w:pPr>
          </w:p>
        </w:tc>
      </w:tr>
      <w:tr w:rsidRPr="007330FC" w:rsidR="00FF0DFA" w:rsidTr="00325C5D" w14:paraId="33451875" w14:textId="77777777">
        <w:tc>
          <w:tcPr>
            <w:tcW w:w="3539" w:type="dxa"/>
          </w:tcPr>
          <w:p w:rsidRPr="007330FC" w:rsidR="00FF0DFA" w:rsidP="00F74A6D" w:rsidRDefault="00FF277D" w14:paraId="5A560FA5" w14:textId="3988614E">
            <w:pPr>
              <w:pStyle w:val="Ingenafstand"/>
              <w:ind w:left="0"/>
              <w:rPr>
                <w:b/>
              </w:rPr>
            </w:pPr>
            <w:r>
              <w:rPr>
                <w:rFonts w:cs="Arial"/>
                <w:b/>
                <w:lang w:val="en-GB" w:bidi="en-GB"/>
              </w:rPr>
              <w:t>Public</w:t>
            </w:r>
            <w:r w:rsidRPr="007330FC">
              <w:rPr>
                <w:rFonts w:cs="Arial"/>
                <w:b/>
                <w:lang w:val="en-GB" w:bidi="en-GB"/>
              </w:rPr>
              <w:t xml:space="preserve"> </w:t>
            </w:r>
            <w:r w:rsidRPr="007330FC" w:rsidR="00FF0DFA">
              <w:rPr>
                <w:rFonts w:cs="Arial"/>
                <w:b/>
                <w:lang w:val="en-GB" w:bidi="en-GB"/>
              </w:rPr>
              <w:t>electricity supply grid</w:t>
            </w:r>
          </w:p>
        </w:tc>
        <w:tc>
          <w:tcPr>
            <w:tcW w:w="6089" w:type="dxa"/>
          </w:tcPr>
          <w:p w:rsidRPr="007330FC" w:rsidR="00872C49" w:rsidP="00F74A6D" w:rsidRDefault="0088528F" w14:paraId="414DFB8E" w14:textId="77777777">
            <w:pPr>
              <w:pStyle w:val="Ingenafstand"/>
              <w:ind w:left="0"/>
              <w:rPr>
                <w:rFonts w:cs="Arial"/>
              </w:rPr>
            </w:pPr>
            <w:r w:rsidRPr="007330FC">
              <w:rPr>
                <w:rFonts w:cs="Arial"/>
                <w:lang w:val="en-GB" w:bidi="en-GB"/>
              </w:rPr>
              <w:t xml:space="preserve">Transmission and distribution grids operated on publicly regulated conditions with the purpose of transporting electricity between suppliers and consumers of electricity. </w:t>
            </w:r>
          </w:p>
          <w:p w:rsidRPr="007330FC" w:rsidR="00F15BA9" w:rsidP="00F74A6D" w:rsidRDefault="0088528F" w14:paraId="32A306B5" w14:textId="0865B7EF">
            <w:pPr>
              <w:pStyle w:val="Ingenafstand"/>
              <w:ind w:left="0"/>
            </w:pPr>
            <w:r w:rsidRPr="007330FC">
              <w:rPr>
                <w:rFonts w:cs="Arial"/>
                <w:lang w:val="en-GB" w:bidi="en-GB"/>
              </w:rPr>
              <w:t xml:space="preserve"> </w:t>
            </w:r>
          </w:p>
        </w:tc>
      </w:tr>
      <w:tr w:rsidRPr="007330FC" w:rsidR="00FF0DFA" w:rsidTr="00325C5D" w14:paraId="058678B0" w14:textId="77777777">
        <w:tc>
          <w:tcPr>
            <w:tcW w:w="3539" w:type="dxa"/>
          </w:tcPr>
          <w:p w:rsidRPr="007330FC" w:rsidR="00FF0DFA" w:rsidP="00F74A6D" w:rsidRDefault="00FF0DFA" w14:paraId="7CC81E03" w14:textId="4009CB5F">
            <w:pPr>
              <w:pStyle w:val="Ingenafstand"/>
              <w:ind w:left="0"/>
              <w:rPr>
                <w:b/>
              </w:rPr>
            </w:pPr>
            <w:r w:rsidRPr="007330FC">
              <w:rPr>
                <w:rFonts w:cs="Arial"/>
                <w:b/>
                <w:lang w:val="en-GB" w:bidi="en-GB"/>
              </w:rPr>
              <w:t xml:space="preserve">Ownership </w:t>
            </w:r>
            <w:r w:rsidR="00FF277D">
              <w:rPr>
                <w:rFonts w:cs="Arial"/>
                <w:b/>
                <w:lang w:val="en-GB" w:bidi="en-GB"/>
              </w:rPr>
              <w:t>boundary</w:t>
            </w:r>
          </w:p>
        </w:tc>
        <w:tc>
          <w:tcPr>
            <w:tcW w:w="6089" w:type="dxa"/>
          </w:tcPr>
          <w:p w:rsidRPr="007330FC" w:rsidR="00FF0DFA" w:rsidP="00FF0DFA" w:rsidRDefault="00FF0DFA" w14:paraId="5854477C" w14:textId="3FE6A5BC">
            <w:pPr>
              <w:pStyle w:val="Ingenafstand"/>
              <w:ind w:left="0"/>
            </w:pPr>
            <w:r w:rsidRPr="007330FC">
              <w:rPr>
                <w:lang w:val="en-GB" w:bidi="en-GB"/>
              </w:rPr>
              <w:t>The point in the electricity grid where ownership of the physical components passes from one contracting party to another.</w:t>
            </w:r>
          </w:p>
          <w:p w:rsidRPr="007330FC" w:rsidR="00F15BA9" w:rsidRDefault="00F15BA9" w14:paraId="24344D4E" w14:textId="482541A6">
            <w:pPr>
              <w:pStyle w:val="Ingenafstand"/>
              <w:ind w:left="0"/>
            </w:pPr>
          </w:p>
        </w:tc>
      </w:tr>
      <w:tr w:rsidRPr="007330FC" w:rsidR="00FF0DFA" w:rsidTr="00325C5D" w14:paraId="74A41717" w14:textId="77777777">
        <w:tc>
          <w:tcPr>
            <w:tcW w:w="3539" w:type="dxa"/>
          </w:tcPr>
          <w:p w:rsidRPr="007330FC" w:rsidR="00FF0DFA" w:rsidP="00F74A6D" w:rsidRDefault="00C904EE" w14:paraId="12D0B921" w14:textId="4F959C4A">
            <w:pPr>
              <w:pStyle w:val="Ingenafstand"/>
              <w:ind w:left="0"/>
              <w:rPr>
                <w:b/>
              </w:rPr>
            </w:pPr>
            <w:r>
              <w:rPr>
                <w:rFonts w:cs="Arial"/>
                <w:b/>
                <w:lang w:val="en-GB" w:bidi="en-GB"/>
              </w:rPr>
              <w:t>Point of connection (POC)</w:t>
            </w:r>
          </w:p>
        </w:tc>
        <w:tc>
          <w:tcPr>
            <w:tcW w:w="6089" w:type="dxa"/>
          </w:tcPr>
          <w:p w:rsidRPr="007330FC" w:rsidR="00FF0DFA" w:rsidP="00497778" w:rsidRDefault="00497778" w14:paraId="489404AC" w14:textId="78A3086C">
            <w:pPr>
              <w:pStyle w:val="Ingenafstand"/>
              <w:ind w:left="0"/>
            </w:pPr>
            <w:r w:rsidRPr="007330FC">
              <w:rPr>
                <w:lang w:val="en-GB" w:bidi="en-GB"/>
              </w:rPr>
              <w:t xml:space="preserve">The physical point in the grid where the cable connection which connects a demand facility to the </w:t>
            </w:r>
            <w:r w:rsidR="00FF277D">
              <w:rPr>
                <w:lang w:val="en-GB" w:bidi="en-GB"/>
              </w:rPr>
              <w:t>public electricity</w:t>
            </w:r>
            <w:r w:rsidRPr="007330FC">
              <w:rPr>
                <w:lang w:val="en-GB" w:bidi="en-GB"/>
              </w:rPr>
              <w:t xml:space="preserve"> supply grid is electrically connected to another electric</w:t>
            </w:r>
            <w:r w:rsidR="00FF277D">
              <w:rPr>
                <w:lang w:val="en-GB" w:bidi="en-GB"/>
              </w:rPr>
              <w:t xml:space="preserve">al </w:t>
            </w:r>
            <w:r w:rsidRPr="007330FC">
              <w:rPr>
                <w:lang w:val="en-GB" w:bidi="en-GB"/>
              </w:rPr>
              <w:t xml:space="preserve">component. The point of connection is usually the fuse of a mast, wiring cabinet or transformer substation. The fuses themselves are part of the distribution grid.  </w:t>
            </w:r>
          </w:p>
          <w:p w:rsidRPr="007330FC" w:rsidR="00F15BA9" w:rsidRDefault="00F15BA9" w14:paraId="6C5ADB83" w14:textId="6163B141">
            <w:pPr>
              <w:pStyle w:val="Ingenafstand"/>
              <w:ind w:left="0"/>
            </w:pPr>
          </w:p>
        </w:tc>
      </w:tr>
      <w:tr w:rsidRPr="007330FC" w:rsidR="00E4127E" w:rsidTr="00325C5D" w14:paraId="1E3E8FC2" w14:textId="77777777">
        <w:tc>
          <w:tcPr>
            <w:tcW w:w="3539" w:type="dxa"/>
          </w:tcPr>
          <w:p w:rsidRPr="007330FC" w:rsidR="00E4127E" w:rsidP="00F74A6D" w:rsidRDefault="00E4127E" w14:paraId="5B8CFEBF" w14:textId="2E858EDF">
            <w:pPr>
              <w:pStyle w:val="Ingenafstand"/>
              <w:ind w:left="0"/>
              <w:rPr>
                <w:rFonts w:cs="Arial"/>
                <w:b/>
              </w:rPr>
            </w:pPr>
            <w:r w:rsidRPr="007330FC">
              <w:rPr>
                <w:rFonts w:cs="Arial"/>
                <w:b/>
                <w:lang w:val="en-GB" w:bidi="en-GB"/>
              </w:rPr>
              <w:t>Point of common coupling (PCC)</w:t>
            </w:r>
          </w:p>
        </w:tc>
        <w:tc>
          <w:tcPr>
            <w:tcW w:w="6089" w:type="dxa"/>
          </w:tcPr>
          <w:p w:rsidRPr="007330FC" w:rsidR="00497778" w:rsidP="00497778" w:rsidRDefault="00497778" w14:paraId="046D4016" w14:textId="26479346">
            <w:pPr>
              <w:pStyle w:val="Ingenafstand"/>
              <w:ind w:left="0"/>
            </w:pPr>
            <w:r w:rsidRPr="007330FC">
              <w:rPr>
                <w:lang w:val="en-GB" w:bidi="en-GB"/>
              </w:rPr>
              <w:t xml:space="preserve">The point in the public electricity supply grid where other customers are or can be connected. Electrically speaking, the point of common coupling and the point of connection may coincide. The point of common coupling (PCC) is always the point furthest along the public electricity supply grid, i.e. furthest away from the facility. </w:t>
            </w:r>
          </w:p>
          <w:p w:rsidRPr="007330FC" w:rsidR="00E4127E" w:rsidP="00497778" w:rsidRDefault="00E4127E" w14:paraId="4B15CBF7" w14:textId="2704F665">
            <w:pPr>
              <w:pStyle w:val="Ingenafstand"/>
              <w:ind w:left="0"/>
            </w:pPr>
            <w:r w:rsidRPr="007330FC">
              <w:rPr>
                <w:lang w:val="en-GB" w:bidi="en-GB"/>
              </w:rPr>
              <w:t xml:space="preserve">  </w:t>
            </w:r>
          </w:p>
        </w:tc>
      </w:tr>
      <w:tr w:rsidRPr="007330FC" w:rsidR="007F7D83" w:rsidTr="00325C5D" w14:paraId="2AA2FC6D" w14:textId="77777777">
        <w:tc>
          <w:tcPr>
            <w:tcW w:w="3539" w:type="dxa"/>
          </w:tcPr>
          <w:p w:rsidRPr="007330FC" w:rsidR="007F7D83" w:rsidP="00F74A6D" w:rsidRDefault="007F7D83" w14:paraId="052C3B5E" w14:textId="276AC742">
            <w:pPr>
              <w:pStyle w:val="Ingenafstand"/>
              <w:ind w:left="0"/>
              <w:rPr>
                <w:rFonts w:cs="Arial"/>
                <w:b/>
              </w:rPr>
            </w:pPr>
            <w:r w:rsidRPr="007330FC">
              <w:rPr>
                <w:rFonts w:cs="Arial"/>
                <w:b/>
                <w:lang w:val="en-GB" w:bidi="en-GB"/>
              </w:rPr>
              <w:t>Point of communication (PCOM)</w:t>
            </w:r>
          </w:p>
        </w:tc>
        <w:tc>
          <w:tcPr>
            <w:tcW w:w="6089" w:type="dxa"/>
          </w:tcPr>
          <w:p w:rsidRPr="007330FC" w:rsidR="007F7D83" w:rsidRDefault="0001508A" w14:paraId="5BCC4143" w14:textId="21871471">
            <w:pPr>
              <w:pStyle w:val="Ingenafstand"/>
              <w:ind w:left="0"/>
            </w:pPr>
            <w:r w:rsidRPr="007330FC">
              <w:rPr>
                <w:lang w:val="en-GB" w:bidi="en-GB"/>
              </w:rPr>
              <w:t>The point at which information is shared between the demand facility and other players. The information being shared includes signals, measurements, status</w:t>
            </w:r>
            <w:r w:rsidR="00B0056C">
              <w:rPr>
                <w:lang w:val="en-GB" w:bidi="en-GB"/>
              </w:rPr>
              <w:t>es</w:t>
            </w:r>
            <w:r w:rsidRPr="007330FC">
              <w:rPr>
                <w:lang w:val="en-GB" w:bidi="en-GB"/>
              </w:rPr>
              <w:t>, set points and commands.</w:t>
            </w:r>
          </w:p>
          <w:p w:rsidRPr="007330FC" w:rsidR="005813AB" w:rsidRDefault="005813AB" w14:paraId="0CEE3CE6" w14:textId="67DE721A">
            <w:pPr>
              <w:pStyle w:val="Ingenafstand"/>
              <w:ind w:left="0"/>
            </w:pPr>
          </w:p>
        </w:tc>
      </w:tr>
      <w:tr w:rsidRPr="007330FC" w:rsidR="00C83C6B" w:rsidTr="00325C5D" w14:paraId="42115130" w14:textId="77777777">
        <w:tc>
          <w:tcPr>
            <w:tcW w:w="3539" w:type="dxa"/>
          </w:tcPr>
          <w:p w:rsidRPr="007330FC" w:rsidR="00C83C6B" w:rsidP="00F74A6D" w:rsidRDefault="00C83C6B" w14:paraId="62FC2077" w14:textId="5627FA9B">
            <w:pPr>
              <w:pStyle w:val="Ingenafstand"/>
              <w:ind w:left="0"/>
              <w:rPr>
                <w:rFonts w:cs="Arial"/>
                <w:b/>
              </w:rPr>
            </w:pPr>
            <w:r w:rsidRPr="007330FC">
              <w:rPr>
                <w:rFonts w:cs="Arial"/>
                <w:b/>
                <w:lang w:val="en-GB" w:bidi="en-GB"/>
              </w:rPr>
              <w:t xml:space="preserve">Technical </w:t>
            </w:r>
            <w:r w:rsidR="00B0056C">
              <w:rPr>
                <w:rFonts w:cs="Arial"/>
                <w:b/>
                <w:lang w:val="en-GB" w:bidi="en-GB"/>
              </w:rPr>
              <w:t>requirements</w:t>
            </w:r>
          </w:p>
        </w:tc>
        <w:tc>
          <w:tcPr>
            <w:tcW w:w="6089" w:type="dxa"/>
          </w:tcPr>
          <w:p w:rsidRPr="007330FC" w:rsidR="00040C3D" w:rsidRDefault="00CE0950" w14:paraId="3CECE07D" w14:textId="56C5F80E">
            <w:pPr>
              <w:pStyle w:val="Ingenafstand"/>
              <w:ind w:left="0"/>
            </w:pPr>
            <w:r w:rsidRPr="007330FC">
              <w:rPr>
                <w:lang w:val="en-GB" w:bidi="en-GB"/>
              </w:rPr>
              <w:t xml:space="preserve">The combined technical requirements for demand connection, including requirements laid down by the TSO and the relevant </w:t>
            </w:r>
            <w:r w:rsidR="00B0056C">
              <w:rPr>
                <w:lang w:val="en-GB" w:bidi="en-GB"/>
              </w:rPr>
              <w:t>DSO</w:t>
            </w:r>
            <w:r w:rsidRPr="007330FC">
              <w:rPr>
                <w:lang w:val="en-GB" w:bidi="en-GB"/>
              </w:rPr>
              <w:t xml:space="preserve">. </w:t>
            </w:r>
          </w:p>
          <w:p w:rsidRPr="007330FC" w:rsidR="005813AB" w:rsidRDefault="005813AB" w14:paraId="7D766518" w14:textId="45F07DCF">
            <w:pPr>
              <w:pStyle w:val="Ingenafstand"/>
              <w:ind w:left="0"/>
            </w:pPr>
          </w:p>
        </w:tc>
      </w:tr>
      <w:tr w:rsidRPr="007330FC" w:rsidR="00040C3D" w:rsidTr="00325C5D" w14:paraId="1278480A" w14:textId="77777777">
        <w:tc>
          <w:tcPr>
            <w:tcW w:w="3539" w:type="dxa"/>
          </w:tcPr>
          <w:p w:rsidRPr="007330FC" w:rsidR="00040C3D" w:rsidP="00F74A6D" w:rsidRDefault="00040C3D" w14:paraId="144FD557" w14:textId="5CCCA157">
            <w:pPr>
              <w:pStyle w:val="Ingenafstand"/>
              <w:ind w:left="0"/>
              <w:rPr>
                <w:rFonts w:cs="Arial"/>
                <w:b/>
              </w:rPr>
            </w:pPr>
            <w:r>
              <w:rPr>
                <w:rFonts w:cs="Arial"/>
                <w:b/>
                <w:lang w:val="en-GB" w:bidi="en-GB"/>
              </w:rPr>
              <w:t>Connection provisions</w:t>
            </w:r>
          </w:p>
        </w:tc>
        <w:tc>
          <w:tcPr>
            <w:tcW w:w="6089" w:type="dxa"/>
          </w:tcPr>
          <w:p w:rsidRPr="0043110A" w:rsidR="00040C3D" w:rsidP="00040C3D" w:rsidRDefault="00040C3D" w14:paraId="167CE837" w14:textId="77777777">
            <w:pPr>
              <w:pStyle w:val="Ingenafstand"/>
              <w:ind w:left="0"/>
              <w:rPr>
                <w:szCs w:val="24"/>
              </w:rPr>
            </w:pPr>
            <w:r>
              <w:rPr>
                <w:szCs w:val="24"/>
                <w:lang w:val="en-GB" w:bidi="en-GB"/>
              </w:rPr>
              <w:t>Provisions on connection to and use of the distribution grid, including appendices.</w:t>
            </w:r>
          </w:p>
          <w:p w:rsidRPr="007330FC" w:rsidR="00040C3D" w:rsidRDefault="00040C3D" w14:paraId="55B817DC" w14:textId="77777777">
            <w:pPr>
              <w:pStyle w:val="Ingenafstand"/>
              <w:ind w:left="0"/>
            </w:pPr>
          </w:p>
        </w:tc>
      </w:tr>
    </w:tbl>
    <w:p w:rsidRPr="00040C3D" w:rsidR="00040C3D" w:rsidP="00040C3D" w:rsidRDefault="00040C3D" w14:paraId="15F4652B" w14:textId="77777777">
      <w:pPr>
        <w:pStyle w:val="Ingenafstand"/>
      </w:pPr>
    </w:p>
    <w:p w:rsidR="00040C3D" w:rsidP="00040C3D" w:rsidRDefault="00040C3D" w14:paraId="511F35EC" w14:textId="77777777">
      <w:pPr>
        <w:pStyle w:val="Ingenafstand"/>
      </w:pPr>
      <w:r>
        <w:rPr>
          <w:lang w:val="en-GB" w:bidi="en-GB"/>
        </w:rPr>
        <w:br w:type="page"/>
      </w:r>
    </w:p>
    <w:p w:rsidRPr="007330FC" w:rsidR="009F45E2" w:rsidP="00C619CD" w:rsidRDefault="003012EE" w14:paraId="0372B8B2" w14:textId="5BD9E47B">
      <w:pPr>
        <w:pStyle w:val="Ingenafstand"/>
        <w:ind w:left="0"/>
        <w:rPr>
          <w:sz w:val="40"/>
        </w:rPr>
      </w:pPr>
      <w:r w:rsidRPr="007330FC">
        <w:rPr>
          <w:sz w:val="40"/>
          <w:lang w:val="en-GB" w:bidi="en-GB"/>
        </w:rPr>
        <w:lastRenderedPageBreak/>
        <w:t>About the grid connection agreement</w:t>
      </w:r>
    </w:p>
    <w:p w:rsidRPr="007330FC" w:rsidR="00CA647B" w:rsidP="005F0DC2" w:rsidRDefault="00CA647B" w14:paraId="4874236C" w14:textId="500DBB01">
      <w:pPr>
        <w:pStyle w:val="Ingenafstand"/>
        <w:ind w:left="0"/>
      </w:pPr>
    </w:p>
    <w:p w:rsidRPr="007330FC" w:rsidR="002D0DB9" w:rsidP="005F0DC2" w:rsidRDefault="002D0DB9" w14:paraId="39CBFD97" w14:textId="1E0A0A5E">
      <w:pPr>
        <w:pStyle w:val="Ingenafstand"/>
        <w:ind w:left="0"/>
        <w:rPr>
          <w:b/>
        </w:rPr>
      </w:pPr>
      <w:r w:rsidRPr="007330FC">
        <w:rPr>
          <w:b/>
          <w:lang w:val="en-GB" w:bidi="en-GB"/>
        </w:rPr>
        <w:t>Version: 2.0</w:t>
      </w:r>
    </w:p>
    <w:p w:rsidRPr="007330FC" w:rsidR="00736090" w:rsidP="005F0DC2" w:rsidRDefault="00736090" w14:paraId="28E11157" w14:textId="6DDE80D0">
      <w:pPr>
        <w:pStyle w:val="Ingenafstand"/>
        <w:ind w:left="0"/>
      </w:pPr>
      <w:r w:rsidRPr="007330FC">
        <w:rPr>
          <w:lang w:val="en-GB" w:bidi="en-GB"/>
        </w:rPr>
        <w:t>The change log describes changes made to the agreement, making it possible to follow the agreement history.</w:t>
      </w:r>
    </w:p>
    <w:tbl>
      <w:tblPr>
        <w:tblStyle w:val="Tabel-Gitter"/>
        <w:tblW w:w="0" w:type="auto"/>
        <w:tblLook w:val="04A0" w:firstRow="1" w:lastRow="0" w:firstColumn="1" w:lastColumn="0" w:noHBand="0" w:noVBand="1"/>
      </w:tblPr>
      <w:tblGrid>
        <w:gridCol w:w="942"/>
        <w:gridCol w:w="6991"/>
        <w:gridCol w:w="1695"/>
      </w:tblGrid>
      <w:tr w:rsidRPr="007330FC" w:rsidR="00736090" w:rsidTr="00D21A1B" w14:paraId="238B2AA0" w14:textId="340B5ECE">
        <w:tc>
          <w:tcPr>
            <w:tcW w:w="9628" w:type="dxa"/>
            <w:gridSpan w:val="3"/>
          </w:tcPr>
          <w:p w:rsidRPr="007330FC" w:rsidR="00736090" w:rsidP="00B454C5" w:rsidRDefault="00736090" w14:paraId="3340E558" w14:textId="6A50CE3A">
            <w:pPr>
              <w:pStyle w:val="Ingenafstand"/>
              <w:ind w:left="0"/>
              <w:jc w:val="center"/>
              <w:rPr>
                <w:b/>
              </w:rPr>
            </w:pPr>
            <w:r w:rsidRPr="007330FC">
              <w:rPr>
                <w:b/>
                <w:lang w:val="en-GB" w:bidi="en-GB"/>
              </w:rPr>
              <w:t>Change log</w:t>
            </w:r>
          </w:p>
        </w:tc>
      </w:tr>
      <w:tr w:rsidRPr="007330FC" w:rsidR="00736090" w:rsidTr="0055692B" w14:paraId="50C8B875" w14:textId="5BAB3902">
        <w:tc>
          <w:tcPr>
            <w:tcW w:w="942" w:type="dxa"/>
          </w:tcPr>
          <w:p w:rsidRPr="007330FC" w:rsidR="00736090" w:rsidP="005F0DC2" w:rsidRDefault="00736090" w14:paraId="46704ACB" w14:textId="2D413FC9">
            <w:pPr>
              <w:pStyle w:val="Ingenafstand"/>
              <w:ind w:left="0"/>
              <w:rPr>
                <w:b/>
              </w:rPr>
            </w:pPr>
            <w:r w:rsidRPr="007330FC">
              <w:rPr>
                <w:b/>
                <w:lang w:val="en-GB" w:bidi="en-GB"/>
              </w:rPr>
              <w:t>Version</w:t>
            </w:r>
          </w:p>
        </w:tc>
        <w:tc>
          <w:tcPr>
            <w:tcW w:w="6991" w:type="dxa"/>
          </w:tcPr>
          <w:p w:rsidRPr="007330FC" w:rsidR="00736090" w:rsidP="005F0DC2" w:rsidRDefault="00736090" w14:paraId="5CF226D6" w14:textId="6D5BFE27">
            <w:pPr>
              <w:pStyle w:val="Ingenafstand"/>
              <w:ind w:left="0"/>
              <w:rPr>
                <w:b/>
              </w:rPr>
            </w:pPr>
            <w:r w:rsidRPr="007330FC">
              <w:rPr>
                <w:b/>
                <w:lang w:val="en-GB" w:bidi="en-GB"/>
              </w:rPr>
              <w:t>Description</w:t>
            </w:r>
          </w:p>
        </w:tc>
        <w:tc>
          <w:tcPr>
            <w:tcW w:w="1695" w:type="dxa"/>
          </w:tcPr>
          <w:p w:rsidRPr="007330FC" w:rsidR="00736090" w:rsidP="0055692B" w:rsidRDefault="00736090" w14:paraId="52B6EBF9" w14:textId="46BF7FEE">
            <w:pPr>
              <w:pStyle w:val="Ingenafstand"/>
              <w:ind w:left="0"/>
              <w:jc w:val="center"/>
              <w:rPr>
                <w:b/>
              </w:rPr>
            </w:pPr>
            <w:r w:rsidRPr="007330FC">
              <w:rPr>
                <w:b/>
                <w:lang w:val="en-GB" w:bidi="en-GB"/>
              </w:rPr>
              <w:t>Date</w:t>
            </w:r>
          </w:p>
        </w:tc>
      </w:tr>
      <w:tr w:rsidRPr="007330FC" w:rsidR="00736090" w:rsidTr="0055692B" w14:paraId="7F66211D" w14:textId="4E879F06">
        <w:tc>
          <w:tcPr>
            <w:tcW w:w="942" w:type="dxa"/>
          </w:tcPr>
          <w:p w:rsidRPr="007330FC" w:rsidR="00736090" w:rsidP="005F0DC2" w:rsidRDefault="00736090" w14:paraId="2CEEEF61" w14:textId="5F38CC12">
            <w:pPr>
              <w:pStyle w:val="Ingenafstand"/>
              <w:ind w:left="0"/>
            </w:pPr>
            <w:r w:rsidRPr="007330FC">
              <w:rPr>
                <w:lang w:val="en-GB" w:bidi="en-GB"/>
              </w:rPr>
              <w:t>1.0</w:t>
            </w:r>
          </w:p>
        </w:tc>
        <w:tc>
          <w:tcPr>
            <w:tcW w:w="6991" w:type="dxa"/>
          </w:tcPr>
          <w:p w:rsidRPr="007330FC" w:rsidR="00736090" w:rsidP="005F0DC2" w:rsidRDefault="0055692B" w14:paraId="65621901" w14:textId="23E1655F">
            <w:pPr>
              <w:pStyle w:val="Ingenafstand"/>
              <w:ind w:left="0"/>
            </w:pPr>
            <w:r w:rsidRPr="007330FC">
              <w:rPr>
                <w:lang w:val="en-GB" w:bidi="en-GB"/>
              </w:rPr>
              <w:t>First version notified to the Danish Utility Regulator</w:t>
            </w:r>
          </w:p>
        </w:tc>
        <w:tc>
          <w:tcPr>
            <w:tcW w:w="1695" w:type="dxa"/>
          </w:tcPr>
          <w:p w:rsidRPr="007330FC" w:rsidR="00736090" w:rsidP="005F0DC2" w:rsidRDefault="009A6D95" w14:paraId="43EC94C7" w14:textId="23619D0D">
            <w:pPr>
              <w:pStyle w:val="Ingenafstand"/>
              <w:ind w:left="0"/>
            </w:pPr>
            <w:r>
              <w:rPr>
                <w:lang w:val="en-GB" w:bidi="en-GB"/>
              </w:rPr>
              <w:t>16-08-2019</w:t>
            </w:r>
          </w:p>
        </w:tc>
      </w:tr>
      <w:tr w:rsidRPr="007330FC" w:rsidR="00736090" w:rsidTr="0055692B" w14:paraId="0A00F5BB" w14:textId="661469D6">
        <w:tc>
          <w:tcPr>
            <w:tcW w:w="942" w:type="dxa"/>
          </w:tcPr>
          <w:p w:rsidRPr="007330FC" w:rsidR="00736090" w:rsidP="005F0DC2" w:rsidRDefault="0077114B" w14:paraId="0C114901" w14:textId="4C2EEB25">
            <w:pPr>
              <w:pStyle w:val="Ingenafstand"/>
              <w:ind w:left="0"/>
            </w:pPr>
            <w:r>
              <w:rPr>
                <w:lang w:val="en-GB" w:bidi="en-GB"/>
              </w:rPr>
              <w:t>2.0</w:t>
            </w:r>
          </w:p>
        </w:tc>
        <w:tc>
          <w:tcPr>
            <w:tcW w:w="6991" w:type="dxa"/>
          </w:tcPr>
          <w:p w:rsidRPr="007330FC" w:rsidR="00736090" w:rsidP="005F0DC2" w:rsidRDefault="009D5943" w14:paraId="0E2A5B65" w14:textId="03CA1292">
            <w:pPr>
              <w:pStyle w:val="Ingenafstand"/>
              <w:ind w:left="0"/>
            </w:pPr>
            <w:r>
              <w:rPr>
                <w:lang w:val="en-GB" w:bidi="en-GB"/>
              </w:rPr>
              <w:t xml:space="preserve">Grid access </w:t>
            </w:r>
            <w:r w:rsidR="0077114B">
              <w:rPr>
                <w:lang w:val="en-GB" w:bidi="en-GB"/>
              </w:rPr>
              <w:t>is regulated downwards on a pro rata basis</w:t>
            </w:r>
          </w:p>
        </w:tc>
        <w:tc>
          <w:tcPr>
            <w:tcW w:w="1695" w:type="dxa"/>
          </w:tcPr>
          <w:p w:rsidRPr="007330FC" w:rsidR="00736090" w:rsidP="005F0DC2" w:rsidRDefault="0077114B" w14:paraId="382D24E3" w14:textId="3254057B">
            <w:pPr>
              <w:pStyle w:val="Ingenafstand"/>
              <w:ind w:left="0"/>
            </w:pPr>
            <w:r>
              <w:rPr>
                <w:lang w:val="en-GB" w:bidi="en-GB"/>
              </w:rPr>
              <w:t>01-12-2019</w:t>
            </w:r>
          </w:p>
        </w:tc>
      </w:tr>
      <w:tr w:rsidRPr="007330FC" w:rsidR="00736090" w:rsidTr="0055692B" w14:paraId="7A8D8A40" w14:textId="36ECF2C1">
        <w:tc>
          <w:tcPr>
            <w:tcW w:w="942" w:type="dxa"/>
          </w:tcPr>
          <w:p w:rsidRPr="007330FC" w:rsidR="00736090" w:rsidP="005F0DC2" w:rsidRDefault="00736090" w14:paraId="61DFB7B6" w14:textId="46FCAD7D">
            <w:pPr>
              <w:pStyle w:val="Ingenafstand"/>
              <w:ind w:left="0"/>
            </w:pPr>
          </w:p>
        </w:tc>
        <w:tc>
          <w:tcPr>
            <w:tcW w:w="6991" w:type="dxa"/>
          </w:tcPr>
          <w:p w:rsidRPr="007330FC" w:rsidR="00736090" w:rsidP="005F0DC2" w:rsidRDefault="00736090" w14:paraId="5E97A478" w14:textId="15CF264A">
            <w:pPr>
              <w:pStyle w:val="Ingenafstand"/>
              <w:ind w:left="0"/>
            </w:pPr>
          </w:p>
        </w:tc>
        <w:tc>
          <w:tcPr>
            <w:tcW w:w="1695" w:type="dxa"/>
          </w:tcPr>
          <w:p w:rsidRPr="007330FC" w:rsidR="00736090" w:rsidP="005F0DC2" w:rsidRDefault="00736090" w14:paraId="3B29AB3C" w14:textId="77777777">
            <w:pPr>
              <w:pStyle w:val="Ingenafstand"/>
              <w:ind w:left="0"/>
            </w:pPr>
          </w:p>
        </w:tc>
      </w:tr>
      <w:tr w:rsidRPr="007330FC" w:rsidR="00736090" w:rsidTr="0055692B" w14:paraId="35B425AB" w14:textId="489ADD76">
        <w:tc>
          <w:tcPr>
            <w:tcW w:w="942" w:type="dxa"/>
          </w:tcPr>
          <w:p w:rsidRPr="007330FC" w:rsidR="00736090" w:rsidP="005F0DC2" w:rsidRDefault="00736090" w14:paraId="54D341EC" w14:textId="00D8BE48">
            <w:pPr>
              <w:pStyle w:val="Ingenafstand"/>
              <w:ind w:left="0"/>
            </w:pPr>
          </w:p>
        </w:tc>
        <w:tc>
          <w:tcPr>
            <w:tcW w:w="6991" w:type="dxa"/>
          </w:tcPr>
          <w:p w:rsidRPr="007330FC" w:rsidR="00736090" w:rsidP="005F0DC2" w:rsidRDefault="00736090" w14:paraId="4794E223" w14:textId="66986E9F">
            <w:pPr>
              <w:pStyle w:val="Ingenafstand"/>
              <w:ind w:left="0"/>
            </w:pPr>
          </w:p>
        </w:tc>
        <w:tc>
          <w:tcPr>
            <w:tcW w:w="1695" w:type="dxa"/>
          </w:tcPr>
          <w:p w:rsidRPr="007330FC" w:rsidR="00736090" w:rsidP="005F0DC2" w:rsidRDefault="00736090" w14:paraId="782EC856" w14:textId="77777777">
            <w:pPr>
              <w:pStyle w:val="Ingenafstand"/>
              <w:ind w:left="0"/>
            </w:pPr>
          </w:p>
        </w:tc>
      </w:tr>
    </w:tbl>
    <w:p w:rsidRPr="007330FC" w:rsidR="00E80DE5" w:rsidP="005F0DC2" w:rsidRDefault="00E80DE5" w14:paraId="2D811A4D" w14:textId="535B69DA">
      <w:pPr>
        <w:pStyle w:val="Ingenafstand"/>
        <w:ind w:left="0"/>
      </w:pPr>
    </w:p>
    <w:p w:rsidRPr="007330FC" w:rsidR="00BC6F7D" w:rsidP="00BD1179" w:rsidRDefault="003012EE" w14:paraId="47CAFED0" w14:textId="208930C4">
      <w:pPr>
        <w:pStyle w:val="Ingenafstand"/>
        <w:ind w:left="0"/>
      </w:pPr>
      <w:r w:rsidRPr="007330FC">
        <w:rPr>
          <w:lang w:val="en-GB" w:bidi="en-GB"/>
        </w:rPr>
        <w:t xml:space="preserve">This grid connection agreement (hereinafter referred to as the ‘Agreement’) </w:t>
      </w:r>
      <w:r w:rsidRPr="007330FC" w:rsidR="009D5943">
        <w:rPr>
          <w:lang w:val="en-GB" w:bidi="en-GB"/>
        </w:rPr>
        <w:t xml:space="preserve">between the Facility Owner and the </w:t>
      </w:r>
      <w:r w:rsidR="009D5943">
        <w:rPr>
          <w:lang w:val="en-GB" w:bidi="en-GB"/>
        </w:rPr>
        <w:t>DSO</w:t>
      </w:r>
      <w:r w:rsidRPr="007330FC" w:rsidR="009D5943">
        <w:rPr>
          <w:lang w:val="en-GB" w:bidi="en-GB"/>
        </w:rPr>
        <w:t xml:space="preserve"> </w:t>
      </w:r>
      <w:r w:rsidRPr="007330FC">
        <w:rPr>
          <w:lang w:val="en-GB" w:bidi="en-GB"/>
        </w:rPr>
        <w:t xml:space="preserve">describes the conditions for the establishment of demand facilities as well as access to the </w:t>
      </w:r>
      <w:r w:rsidR="00FF277D">
        <w:rPr>
          <w:lang w:val="en-GB" w:bidi="en-GB"/>
        </w:rPr>
        <w:t>public electricity</w:t>
      </w:r>
      <w:r w:rsidRPr="007330FC">
        <w:rPr>
          <w:lang w:val="en-GB" w:bidi="en-GB"/>
        </w:rPr>
        <w:t xml:space="preserve"> grid. The Agreement has been drawn up within the framework of the Danish Electricity Supply Act, the Danish Electricity Security Act and </w:t>
      </w:r>
      <w:r w:rsidRPr="00F708CD" w:rsidR="00F708CD">
        <w:rPr>
          <w:rFonts w:eastAsia="Calibri" w:cs="Arial"/>
          <w:lang w:val="en-GB" w:bidi="en-GB"/>
        </w:rPr>
        <w:t>COMMISSION REGULATION (EU) 2016/1388 of 17 August 2016 establishing a network code on demand connection</w:t>
      </w:r>
      <w:r w:rsidRPr="007330FC">
        <w:rPr>
          <w:lang w:val="en-GB" w:bidi="en-GB"/>
        </w:rPr>
        <w:t xml:space="preserve">. Provisions of the Agreement which do not directly result from legislation, regulations and other terms and conditions have been </w:t>
      </w:r>
      <w:r w:rsidR="009D5943">
        <w:rPr>
          <w:lang w:val="en-GB" w:bidi="en-GB"/>
        </w:rPr>
        <w:t xml:space="preserve">sent </w:t>
      </w:r>
      <w:r w:rsidRPr="007330FC">
        <w:rPr>
          <w:lang w:val="en-GB" w:bidi="en-GB"/>
        </w:rPr>
        <w:t xml:space="preserve">to the Danish Utility Regulator pursuant to section 73b of the Danish Electricity Supply Act. </w:t>
      </w:r>
    </w:p>
    <w:p w:rsidRPr="007330FC" w:rsidR="005522C6" w:rsidP="005522C6" w:rsidRDefault="005522C6" w14:paraId="057C8433" w14:textId="77777777">
      <w:pPr>
        <w:pStyle w:val="Ingenafstand"/>
        <w:ind w:left="0"/>
      </w:pPr>
    </w:p>
    <w:p w:rsidRPr="007330FC" w:rsidR="005E3D18" w:rsidRDefault="00CA0649" w14:paraId="7679F7C4" w14:textId="31AC68BD">
      <w:pPr>
        <w:pStyle w:val="Ingenafstand"/>
        <w:ind w:left="0"/>
      </w:pPr>
      <w:r w:rsidRPr="007330FC">
        <w:rPr>
          <w:lang w:val="en-GB" w:bidi="en-GB"/>
        </w:rPr>
        <w:t>The Agreement has been drawn up in order to provide the Facility Owner with a comprehensive overview of the rules and conditions applicable to the grid connection in order to facilitate the grid connection process. As a result, the Agreement contains provisions explaining existing legislation, regulations etc. These provisions are to be regarded as indicative, as applicable rules and regulations take precedence over this Agreement.</w:t>
      </w:r>
    </w:p>
    <w:p w:rsidRPr="007330FC" w:rsidR="00FC5EFF" w:rsidRDefault="00FC5EFF" w14:paraId="4EF74AE6" w14:textId="00014B73">
      <w:pPr>
        <w:pStyle w:val="Ingenafstand"/>
        <w:ind w:left="0"/>
      </w:pPr>
    </w:p>
    <w:p w:rsidRPr="007330FC" w:rsidR="00FC5EFF" w:rsidRDefault="00FC5EFF" w14:paraId="09B8AF5C" w14:textId="4A208959">
      <w:pPr>
        <w:pStyle w:val="Ingenafstand"/>
        <w:ind w:left="0"/>
      </w:pPr>
      <w:r w:rsidRPr="007330FC">
        <w:rPr>
          <w:lang w:val="en-GB" w:bidi="en-GB"/>
        </w:rPr>
        <w:t xml:space="preserve">In addition to the indicative provisions, the Agreement contains the additional terms and conditions of the </w:t>
      </w:r>
      <w:r w:rsidR="00B0056C">
        <w:rPr>
          <w:lang w:val="en-GB" w:bidi="en-GB"/>
        </w:rPr>
        <w:t>DSO</w:t>
      </w:r>
      <w:r w:rsidRPr="007330FC">
        <w:rPr>
          <w:lang w:val="en-GB" w:bidi="en-GB"/>
        </w:rPr>
        <w:t xml:space="preserve"> for demand facilities with limited grid access as well as voluntary or statutory agreements concluded between the parties to the Agreement which are necessary for the grid connection. </w:t>
      </w:r>
    </w:p>
    <w:p w:rsidRPr="007330FC" w:rsidR="00FC5EFF" w:rsidRDefault="00FC5EFF" w14:paraId="7025684F" w14:textId="661F899F">
      <w:pPr>
        <w:pStyle w:val="Ingenafstand"/>
        <w:ind w:left="0"/>
      </w:pPr>
    </w:p>
    <w:p w:rsidRPr="007330FC" w:rsidR="00FC5EFF" w:rsidRDefault="00FC5EFF" w14:paraId="62EF7A64" w14:textId="071BA18F">
      <w:pPr>
        <w:pStyle w:val="Ingenafstand"/>
        <w:ind w:left="0"/>
      </w:pPr>
      <w:r w:rsidRPr="007330FC">
        <w:rPr>
          <w:lang w:val="en-GB" w:bidi="en-GB"/>
        </w:rPr>
        <w:t>The individual provisions of the Agreement are categorised according to whether they are indicative, terms and conditions set out in the Agreement or agreements to be concluded between the parties.</w:t>
      </w:r>
    </w:p>
    <w:p w:rsidRPr="007330FC" w:rsidR="00C441D4" w:rsidP="005522C6" w:rsidRDefault="00C441D4" w14:paraId="45856D52" w14:textId="2ABFC5EC">
      <w:pPr>
        <w:pStyle w:val="Ingenafstand"/>
        <w:ind w:left="0"/>
        <w:rPr>
          <w:u w:val="single"/>
        </w:rPr>
      </w:pPr>
    </w:p>
    <w:tbl>
      <w:tblPr>
        <w:tblStyle w:val="Tabel-Gitter"/>
        <w:tblW w:w="0" w:type="auto"/>
        <w:tblLook w:val="04A0" w:firstRow="1" w:lastRow="0" w:firstColumn="1" w:lastColumn="0" w:noHBand="0" w:noVBand="1"/>
      </w:tblPr>
      <w:tblGrid>
        <w:gridCol w:w="4814"/>
        <w:gridCol w:w="4814"/>
      </w:tblGrid>
      <w:tr w:rsidRPr="007330FC" w:rsidR="00C441D4" w:rsidTr="00C441D4" w14:paraId="7754C426" w14:textId="77777777">
        <w:tc>
          <w:tcPr>
            <w:tcW w:w="4814" w:type="dxa"/>
          </w:tcPr>
          <w:p w:rsidRPr="007330FC" w:rsidR="00C441D4" w:rsidP="005522C6" w:rsidRDefault="00352425" w14:paraId="63B7136F" w14:textId="401CE904">
            <w:pPr>
              <w:pStyle w:val="Ingenafstand"/>
              <w:ind w:left="0"/>
              <w:rPr>
                <w:b/>
              </w:rPr>
            </w:pPr>
            <w:r w:rsidRPr="007330FC">
              <w:rPr>
                <w:b/>
                <w:lang w:val="en-GB" w:bidi="en-GB"/>
              </w:rPr>
              <w:t>Categorisation</w:t>
            </w:r>
          </w:p>
        </w:tc>
        <w:tc>
          <w:tcPr>
            <w:tcW w:w="4814" w:type="dxa"/>
          </w:tcPr>
          <w:p w:rsidRPr="007330FC" w:rsidR="00C441D4" w:rsidP="005522C6" w:rsidRDefault="00352425" w14:paraId="01716C4F" w14:textId="3024039D">
            <w:pPr>
              <w:pStyle w:val="Ingenafstand"/>
              <w:ind w:left="0"/>
              <w:rPr>
                <w:b/>
              </w:rPr>
            </w:pPr>
            <w:r w:rsidRPr="007330FC">
              <w:rPr>
                <w:b/>
                <w:lang w:val="en-GB" w:bidi="en-GB"/>
              </w:rPr>
              <w:t>Agreement provision</w:t>
            </w:r>
          </w:p>
        </w:tc>
      </w:tr>
      <w:tr w:rsidRPr="007330FC" w:rsidR="00C441D4" w:rsidTr="00C441D4" w14:paraId="15C7E1EB" w14:textId="77777777">
        <w:tc>
          <w:tcPr>
            <w:tcW w:w="4814" w:type="dxa"/>
          </w:tcPr>
          <w:p w:rsidRPr="007330FC" w:rsidR="00C441D4" w:rsidP="005522C6" w:rsidRDefault="006B6204" w14:paraId="0A5CE8B0" w14:textId="5114F9B3">
            <w:pPr>
              <w:pStyle w:val="Ingenafstand"/>
              <w:ind w:left="0"/>
            </w:pPr>
            <w:r w:rsidRPr="007330FC">
              <w:rPr>
                <w:lang w:val="en-GB" w:bidi="en-GB"/>
              </w:rPr>
              <w:t>Indicative provisions (description of legal requirements, requirements of regulations etc.)</w:t>
            </w:r>
          </w:p>
          <w:p w:rsidRPr="007330FC" w:rsidR="007E0FC0" w:rsidP="005522C6" w:rsidRDefault="007E0FC0" w14:paraId="058763E4" w14:textId="6534AA94">
            <w:pPr>
              <w:pStyle w:val="Ingenafstand"/>
              <w:ind w:left="0"/>
            </w:pPr>
          </w:p>
        </w:tc>
        <w:tc>
          <w:tcPr>
            <w:tcW w:w="4814" w:type="dxa"/>
          </w:tcPr>
          <w:p w:rsidRPr="00075093" w:rsidR="00C441D4" w:rsidP="005522C6" w:rsidRDefault="00075093" w14:paraId="360FC366" w14:textId="4D86E3C9">
            <w:pPr>
              <w:pStyle w:val="Ingenafstand"/>
              <w:ind w:left="0"/>
            </w:pPr>
            <w:r>
              <w:rPr>
                <w:lang w:val="en-GB" w:bidi="en-GB"/>
              </w:rPr>
              <w:t xml:space="preserve">1.1-1.4, 2.2, 2.5, 2.7, 3.2, 3.4, 4.3-4.6,4.8-4.9, 5.1-5.2, 5.4-5.6, 6.1-6.4, 6.6, 7.1-7.7, 8.1-8.2, 10.2, </w:t>
            </w:r>
          </w:p>
        </w:tc>
      </w:tr>
      <w:tr w:rsidRPr="007330FC" w:rsidR="00C441D4" w:rsidTr="00C441D4" w14:paraId="12AAC431" w14:textId="77777777">
        <w:tc>
          <w:tcPr>
            <w:tcW w:w="4814" w:type="dxa"/>
          </w:tcPr>
          <w:p w:rsidRPr="007330FC" w:rsidR="00C441D4" w:rsidP="005522C6" w:rsidRDefault="00FC5EFF" w14:paraId="0ECDD5E3" w14:textId="77777777">
            <w:pPr>
              <w:pStyle w:val="Ingenafstand"/>
              <w:ind w:left="0"/>
            </w:pPr>
            <w:r w:rsidRPr="007330FC">
              <w:rPr>
                <w:lang w:val="en-GB" w:bidi="en-GB"/>
              </w:rPr>
              <w:t>Terms and conditions of the Agreement</w:t>
            </w:r>
          </w:p>
          <w:p w:rsidRPr="007330FC" w:rsidR="007E0FC0" w:rsidP="005522C6" w:rsidRDefault="007330FC" w14:paraId="3032C140" w14:textId="0E0F87A1">
            <w:pPr>
              <w:pStyle w:val="Ingenafstand"/>
              <w:ind w:left="0"/>
              <w:rPr>
                <w:i/>
              </w:rPr>
            </w:pPr>
            <w:r w:rsidRPr="007330FC">
              <w:rPr>
                <w:i/>
                <w:lang w:val="en-GB" w:bidi="en-GB"/>
              </w:rPr>
              <w:t xml:space="preserve">Notified pursuant to section 73b of the Danish </w:t>
            </w:r>
            <w:r w:rsidRPr="007330FC">
              <w:rPr>
                <w:i/>
                <w:lang w:val="en-GB" w:bidi="en-GB"/>
              </w:rPr>
              <w:lastRenderedPageBreak/>
              <w:t>Electricity Supply Act</w:t>
            </w:r>
          </w:p>
        </w:tc>
        <w:tc>
          <w:tcPr>
            <w:tcW w:w="4814" w:type="dxa"/>
          </w:tcPr>
          <w:p w:rsidRPr="00075093" w:rsidR="00C441D4" w:rsidP="005522C6" w:rsidRDefault="00075093" w14:paraId="262C75AA" w14:textId="72870785">
            <w:pPr>
              <w:pStyle w:val="Ingenafstand"/>
              <w:ind w:left="0"/>
            </w:pPr>
            <w:r>
              <w:rPr>
                <w:lang w:val="en-GB" w:bidi="en-GB"/>
              </w:rPr>
              <w:lastRenderedPageBreak/>
              <w:t xml:space="preserve">1.5, 2.3, 2.6, 3.3, 4.1-4.2,4.7, 4.10, 5.3, 5.7-5.13, 6.5, 8.3, 9.1, 9.3-9.4, 9.6-9.10, 10.1, </w:t>
            </w:r>
            <w:r>
              <w:rPr>
                <w:lang w:val="en-GB" w:bidi="en-GB"/>
              </w:rPr>
              <w:lastRenderedPageBreak/>
              <w:t>10.3-10.6, 11.1-11.4, 12.1-12.2, 13.1</w:t>
            </w:r>
          </w:p>
        </w:tc>
      </w:tr>
      <w:tr w:rsidRPr="007330FC" w:rsidR="00C441D4" w:rsidTr="00C441D4" w14:paraId="3D6D4E2F" w14:textId="77777777">
        <w:tc>
          <w:tcPr>
            <w:tcW w:w="4814" w:type="dxa"/>
          </w:tcPr>
          <w:p w:rsidRPr="007330FC" w:rsidR="00C441D4" w:rsidP="005522C6" w:rsidRDefault="00FC5EFF" w14:paraId="20A5FA34" w14:textId="5D41F35F">
            <w:pPr>
              <w:pStyle w:val="Ingenafstand"/>
              <w:ind w:left="0"/>
            </w:pPr>
            <w:r w:rsidRPr="007330FC">
              <w:rPr>
                <w:lang w:val="en-GB" w:bidi="en-GB"/>
              </w:rPr>
              <w:lastRenderedPageBreak/>
              <w:t xml:space="preserve">Agreements between the Facility Owner and the </w:t>
            </w:r>
            <w:r w:rsidR="00B0056C">
              <w:rPr>
                <w:lang w:val="en-GB" w:bidi="en-GB"/>
              </w:rPr>
              <w:t>DSO</w:t>
            </w:r>
          </w:p>
          <w:p w:rsidRPr="007330FC" w:rsidR="007E0FC0" w:rsidP="005522C6" w:rsidRDefault="007E0FC0" w14:paraId="3C353F94" w14:textId="04D2E9D5">
            <w:pPr>
              <w:pStyle w:val="Ingenafstand"/>
              <w:ind w:left="0"/>
              <w:rPr>
                <w:i/>
              </w:rPr>
            </w:pPr>
          </w:p>
        </w:tc>
        <w:tc>
          <w:tcPr>
            <w:tcW w:w="4814" w:type="dxa"/>
          </w:tcPr>
          <w:p w:rsidRPr="00075093" w:rsidR="00C441D4" w:rsidP="005522C6" w:rsidRDefault="00075093" w14:paraId="61D4D7F2" w14:textId="16974C63">
            <w:pPr>
              <w:pStyle w:val="Ingenafstand"/>
              <w:ind w:left="0"/>
            </w:pPr>
            <w:r>
              <w:rPr>
                <w:lang w:val="en-GB" w:bidi="en-GB"/>
              </w:rPr>
              <w:t xml:space="preserve">2.1, 2.4, 3.1, 9.2 </w:t>
            </w:r>
          </w:p>
        </w:tc>
      </w:tr>
    </w:tbl>
    <w:p w:rsidRPr="007330FC" w:rsidR="00652D7C" w:rsidRDefault="00652D7C" w14:paraId="01FA1202" w14:textId="613E84DB">
      <w:pPr>
        <w:widowControl/>
        <w:numPr>
          <w:ilvl w:val="0"/>
          <w:numId w:val="0"/>
        </w:numPr>
        <w:tabs>
          <w:tab w:val="clear" w:pos="-850"/>
        </w:tabs>
        <w:spacing w:after="160" w:line="259" w:lineRule="auto"/>
        <w:contextualSpacing w:val="0"/>
      </w:pPr>
    </w:p>
    <w:p w:rsidRPr="007330FC" w:rsidR="00E66984" w:rsidP="00AE1991" w:rsidRDefault="00E66984" w14:paraId="5D27D9CA" w14:textId="7B25D4EF">
      <w:pPr>
        <w:pStyle w:val="Overskrift1"/>
        <w:numPr>
          <w:ilvl w:val="0"/>
          <w:numId w:val="6"/>
        </w:numPr>
        <w:ind w:left="284" w:hanging="568"/>
      </w:pPr>
      <w:bookmarkStart w:name="_Toc44067830" w:id="0"/>
      <w:r w:rsidRPr="007330FC">
        <w:rPr>
          <w:lang w:val="en-GB" w:bidi="en-GB"/>
        </w:rPr>
        <w:t>Purpose and scope of the Agreement</w:t>
      </w:r>
      <w:bookmarkEnd w:id="0"/>
    </w:p>
    <w:p w:rsidR="00AE7185" w:rsidP="00487036" w:rsidRDefault="001F2421" w14:paraId="07188047" w14:textId="31D99B0C">
      <w:r w:rsidRPr="007330FC">
        <w:rPr>
          <w:lang w:val="en-GB" w:bidi="en-GB"/>
        </w:rPr>
        <w:t xml:space="preserve">The aim of this Agreement is to describe the rules and terms and conditions applicable to grid connection of demand facilities with limited grid access. The Agreement also serves the purpose of </w:t>
      </w:r>
      <w:r w:rsidR="009D5943">
        <w:rPr>
          <w:lang w:val="en-GB" w:bidi="en-GB"/>
        </w:rPr>
        <w:t xml:space="preserve">formalizing </w:t>
      </w:r>
      <w:r w:rsidRPr="007330FC">
        <w:rPr>
          <w:lang w:val="en-GB" w:bidi="en-GB"/>
        </w:rPr>
        <w:t xml:space="preserve">any voluntary or statutory agreements concluded between the </w:t>
      </w:r>
      <w:r w:rsidR="00B0056C">
        <w:rPr>
          <w:lang w:val="en-GB" w:bidi="en-GB"/>
        </w:rPr>
        <w:t>DSO</w:t>
      </w:r>
      <w:r w:rsidRPr="007330FC">
        <w:rPr>
          <w:lang w:val="en-GB" w:bidi="en-GB"/>
        </w:rPr>
        <w:t xml:space="preserve"> and the Facility Owner.</w:t>
      </w:r>
    </w:p>
    <w:p w:rsidR="000254FA" w:rsidP="000254FA" w:rsidRDefault="000254FA" w14:paraId="5F475D30" w14:textId="4FCEE3F0">
      <w:pPr>
        <w:pStyle w:val="Ingenafstand"/>
      </w:pPr>
    </w:p>
    <w:p w:rsidRPr="00694E71" w:rsidR="000254FA" w:rsidP="0007398D" w:rsidRDefault="000254FA" w14:paraId="3D4801DC" w14:textId="7389A7DC">
      <w:r w:rsidRPr="00694E71">
        <w:rPr>
          <w:lang w:val="en-GB" w:bidi="en-GB"/>
        </w:rPr>
        <w:t xml:space="preserve">The conditions for grid connection and use of the </w:t>
      </w:r>
      <w:r w:rsidR="00FF277D">
        <w:rPr>
          <w:lang w:val="en-GB" w:bidi="en-GB"/>
        </w:rPr>
        <w:t>public electricity</w:t>
      </w:r>
      <w:r w:rsidRPr="00694E71">
        <w:rPr>
          <w:lang w:val="en-GB" w:bidi="en-GB"/>
        </w:rPr>
        <w:t xml:space="preserve"> supply grid are laid down in the ‘</w:t>
      </w:r>
      <w:r w:rsidR="00B0056C">
        <w:rPr>
          <w:lang w:val="en-GB" w:bidi="en-GB"/>
        </w:rPr>
        <w:t>DSO</w:t>
      </w:r>
      <w:r w:rsidRPr="00694E71">
        <w:rPr>
          <w:lang w:val="en-GB" w:bidi="en-GB"/>
        </w:rPr>
        <w:t xml:space="preserve">’s provisions for connection and use of the distribution grid’ (‘Connection provisions’). In addition, this Agreement also lays down specific conditions for the part of the demand facility’s power which </w:t>
      </w:r>
      <w:proofErr w:type="gramStart"/>
      <w:r w:rsidRPr="00694E71">
        <w:rPr>
          <w:lang w:val="en-GB" w:bidi="en-GB"/>
        </w:rPr>
        <w:t>is connected with</w:t>
      </w:r>
      <w:proofErr w:type="gramEnd"/>
      <w:r w:rsidRPr="00694E71">
        <w:rPr>
          <w:lang w:val="en-GB" w:bidi="en-GB"/>
        </w:rPr>
        <w:t xml:space="preserve"> limited grid access. In the event of a conflict between the </w:t>
      </w:r>
      <w:r w:rsidR="00684FA7">
        <w:rPr>
          <w:lang w:val="en-GB" w:bidi="en-GB"/>
        </w:rPr>
        <w:t>C</w:t>
      </w:r>
      <w:r w:rsidRPr="00694E71">
        <w:rPr>
          <w:lang w:val="en-GB" w:bidi="en-GB"/>
        </w:rPr>
        <w:t>onnection provisions and this Agreement, this Agreement takes precedence.</w:t>
      </w:r>
    </w:p>
    <w:p w:rsidRPr="007330FC" w:rsidR="00BA6DE8" w:rsidP="00AE1991" w:rsidRDefault="00BA6DE8" w14:paraId="246046B6" w14:textId="6811F585">
      <w:pPr>
        <w:numPr>
          <w:ilvl w:val="0"/>
          <w:numId w:val="0"/>
        </w:numPr>
      </w:pPr>
    </w:p>
    <w:p w:rsidRPr="007330FC" w:rsidR="00E66984" w:rsidP="00EF114E" w:rsidRDefault="00C70D1B" w14:paraId="29695A6F" w14:textId="02F989F4">
      <w:r>
        <w:rPr>
          <w:lang w:val="en-GB" w:bidi="en-GB"/>
        </w:rPr>
        <w:t>Invoicing of e</w:t>
      </w:r>
      <w:r w:rsidRPr="007330FC" w:rsidR="00E66984">
        <w:rPr>
          <w:lang w:val="en-GB" w:bidi="en-GB"/>
        </w:rPr>
        <w:t>lectricity is settled in accordance with the Danish Energy Supply Act in force at any time and provisions laid down pursuant to it</w:t>
      </w:r>
      <w:r w:rsidR="00684FA7">
        <w:rPr>
          <w:lang w:val="en-GB" w:bidi="en-GB"/>
        </w:rPr>
        <w:t>,</w:t>
      </w:r>
      <w:r w:rsidRPr="007330FC" w:rsidR="00E66984">
        <w:rPr>
          <w:lang w:val="en-GB" w:bidi="en-GB"/>
        </w:rPr>
        <w:t xml:space="preserve"> as well as Energinet’s regulations. The Agreement does not address the relationship between the Facility Owner and the approved balance-responsible party for consumption.</w:t>
      </w:r>
    </w:p>
    <w:p w:rsidRPr="007330FC" w:rsidR="00A803C3" w:rsidP="00A803C3" w:rsidRDefault="00A803C3" w14:paraId="67820183" w14:textId="0180F3C8">
      <w:pPr>
        <w:pStyle w:val="Ingenafstand"/>
      </w:pPr>
    </w:p>
    <w:p w:rsidRPr="007330FC" w:rsidR="00A803C3" w:rsidP="006B754B" w:rsidRDefault="006B754B" w14:paraId="4B14F66E" w14:textId="79FBA7FC">
      <w:r w:rsidRPr="007330FC">
        <w:rPr>
          <w:lang w:val="en-GB" w:bidi="en-GB"/>
        </w:rPr>
        <w:t xml:space="preserve">The parties are obliged to comply with the </w:t>
      </w:r>
      <w:r w:rsidR="00C70D1B">
        <w:rPr>
          <w:lang w:val="en-GB" w:bidi="en-GB"/>
        </w:rPr>
        <w:t>legislation</w:t>
      </w:r>
      <w:r w:rsidRPr="007330FC" w:rsidR="00C70D1B">
        <w:rPr>
          <w:lang w:val="en-GB" w:bidi="en-GB"/>
        </w:rPr>
        <w:t xml:space="preserve"> </w:t>
      </w:r>
      <w:r w:rsidRPr="007330FC">
        <w:rPr>
          <w:lang w:val="en-GB" w:bidi="en-GB"/>
        </w:rPr>
        <w:t xml:space="preserve">and regulations in force at any time. The </w:t>
      </w:r>
      <w:r w:rsidR="00684FA7">
        <w:rPr>
          <w:lang w:val="en-GB" w:bidi="en-GB"/>
        </w:rPr>
        <w:t xml:space="preserve">legislation </w:t>
      </w:r>
      <w:r w:rsidRPr="007330FC">
        <w:rPr>
          <w:lang w:val="en-GB" w:bidi="en-GB"/>
        </w:rPr>
        <w:t xml:space="preserve">and regulations relevant to this Agreement are set out in </w:t>
      </w:r>
      <w:r w:rsidRPr="007330FC">
        <w:rPr>
          <w:b/>
          <w:lang w:val="en-GB" w:bidi="en-GB"/>
        </w:rPr>
        <w:t>Appendix 7</w:t>
      </w:r>
      <w:r w:rsidRPr="007330FC">
        <w:rPr>
          <w:lang w:val="en-GB" w:bidi="en-GB"/>
        </w:rPr>
        <w:t xml:space="preserve">. Applicable </w:t>
      </w:r>
      <w:r w:rsidR="00684FA7">
        <w:rPr>
          <w:lang w:val="en-GB" w:bidi="en-GB"/>
        </w:rPr>
        <w:t xml:space="preserve">legislation </w:t>
      </w:r>
      <w:r w:rsidRPr="007330FC">
        <w:rPr>
          <w:lang w:val="en-GB" w:bidi="en-GB"/>
        </w:rPr>
        <w:t>and regulations always take precedence over the provisions of this Agreement.</w:t>
      </w:r>
    </w:p>
    <w:p w:rsidRPr="007330FC" w:rsidR="005E3D18" w:rsidP="005E3D18" w:rsidRDefault="005E3D18" w14:paraId="534F84C5" w14:textId="2CA56BC2">
      <w:pPr>
        <w:pStyle w:val="Ingenafstand"/>
      </w:pPr>
    </w:p>
    <w:p w:rsidRPr="007330FC" w:rsidR="00E66984" w:rsidP="003A0944" w:rsidRDefault="00E60105" w14:paraId="49BF21E0" w14:textId="3C0F1380">
      <w:r w:rsidRPr="007330FC">
        <w:rPr>
          <w:lang w:val="en-GB" w:bidi="en-GB"/>
        </w:rPr>
        <w:t xml:space="preserve">In case of discrepancies between provisions </w:t>
      </w:r>
      <w:r w:rsidR="00C70D1B">
        <w:rPr>
          <w:lang w:val="en-GB" w:bidi="en-GB"/>
        </w:rPr>
        <w:t xml:space="preserve">specified </w:t>
      </w:r>
      <w:r w:rsidRPr="007330FC">
        <w:rPr>
          <w:lang w:val="en-GB" w:bidi="en-GB"/>
        </w:rPr>
        <w:t xml:space="preserve">as ‘Terms and conditions set out in the Agreement’ and the </w:t>
      </w:r>
      <w:r w:rsidR="00B0056C">
        <w:rPr>
          <w:lang w:val="en-GB" w:bidi="en-GB"/>
        </w:rPr>
        <w:t>DSO</w:t>
      </w:r>
      <w:r w:rsidRPr="007330FC">
        <w:rPr>
          <w:lang w:val="en-GB" w:bidi="en-GB"/>
        </w:rPr>
        <w:t xml:space="preserve">’s other terms and conditions, provisions </w:t>
      </w:r>
      <w:r w:rsidR="00C70D1B">
        <w:rPr>
          <w:lang w:val="en-GB" w:bidi="en-GB"/>
        </w:rPr>
        <w:t xml:space="preserve">specified </w:t>
      </w:r>
      <w:r w:rsidRPr="007330FC">
        <w:rPr>
          <w:lang w:val="en-GB" w:bidi="en-GB"/>
        </w:rPr>
        <w:t xml:space="preserve">in this Agreement always take precedence. </w:t>
      </w:r>
    </w:p>
    <w:p w:rsidRPr="007330FC" w:rsidR="00A92D30" w:rsidP="003A0944" w:rsidRDefault="00A92D30" w14:paraId="7AC79071" w14:textId="77777777">
      <w:pPr>
        <w:pStyle w:val="Ingenafstand"/>
      </w:pPr>
    </w:p>
    <w:p w:rsidRPr="007330FC" w:rsidR="00C9605F" w:rsidP="00AE1991" w:rsidRDefault="00620E50" w14:paraId="66C1BCCA" w14:textId="5BB83D2E">
      <w:pPr>
        <w:pStyle w:val="Overskrift1"/>
        <w:ind w:left="284" w:hanging="568"/>
      </w:pPr>
      <w:bookmarkStart w:name="_Toc44067831" w:id="1"/>
      <w:bookmarkStart w:name="_Hlk507578195" w:id="2"/>
      <w:r>
        <w:rPr>
          <w:lang w:val="en-GB" w:bidi="en-GB"/>
        </w:rPr>
        <w:t>Establishment of the demand facility</w:t>
      </w:r>
      <w:bookmarkEnd w:id="1"/>
      <w:r>
        <w:rPr>
          <w:lang w:val="en-GB" w:bidi="en-GB"/>
        </w:rPr>
        <w:t xml:space="preserve"> </w:t>
      </w:r>
    </w:p>
    <w:p w:rsidRPr="007330FC" w:rsidR="00180813" w:rsidRDefault="00180813" w14:paraId="74D2578D" w14:textId="296BE932">
      <w:bookmarkStart w:name="_Hlk508364289" w:id="3"/>
      <w:bookmarkEnd w:id="2"/>
      <w:r w:rsidRPr="007330FC">
        <w:rPr>
          <w:lang w:val="en-GB" w:bidi="en-GB"/>
        </w:rPr>
        <w:t xml:space="preserve">Prior to the establishment of the facility, the Facility Owner must complete and submit </w:t>
      </w:r>
      <w:r w:rsidRPr="007330FC">
        <w:rPr>
          <w:b/>
          <w:lang w:val="en-GB" w:bidi="en-GB"/>
        </w:rPr>
        <w:t xml:space="preserve">Appendix 1 </w:t>
      </w:r>
      <w:r w:rsidRPr="007330FC">
        <w:rPr>
          <w:lang w:val="en-GB" w:bidi="en-GB"/>
        </w:rPr>
        <w:t xml:space="preserve">of this Agreement to the </w:t>
      </w:r>
      <w:r w:rsidR="00B0056C">
        <w:rPr>
          <w:lang w:val="en-GB" w:bidi="en-GB"/>
        </w:rPr>
        <w:t>DSO</w:t>
      </w:r>
      <w:r w:rsidRPr="007330FC">
        <w:rPr>
          <w:lang w:val="en-GB" w:bidi="en-GB"/>
        </w:rPr>
        <w:t>.</w:t>
      </w:r>
    </w:p>
    <w:p w:rsidRPr="007330FC" w:rsidR="00704FF4" w:rsidP="00AE1991" w:rsidRDefault="00704FF4" w14:paraId="0D9981FF" w14:textId="77777777">
      <w:pPr>
        <w:pStyle w:val="Ingenafstand"/>
      </w:pPr>
    </w:p>
    <w:bookmarkEnd w:id="3"/>
    <w:p w:rsidRPr="007330FC" w:rsidR="00225469" w:rsidP="00225469" w:rsidRDefault="008E22D3" w14:paraId="3E6CCA7F" w14:textId="05EE5F03">
      <w:r w:rsidRPr="007330FC">
        <w:rPr>
          <w:lang w:val="en-GB" w:bidi="en-GB"/>
        </w:rPr>
        <w:t xml:space="preserve">The Facility Owner is responsible for making sure that the demand facility complies with the technical rules and </w:t>
      </w:r>
      <w:r w:rsidR="00C70D1B">
        <w:rPr>
          <w:lang w:val="en-GB" w:bidi="en-GB"/>
        </w:rPr>
        <w:t xml:space="preserve">requirements </w:t>
      </w:r>
      <w:r w:rsidRPr="007330FC">
        <w:rPr>
          <w:lang w:val="en-GB" w:bidi="en-GB"/>
        </w:rPr>
        <w:t xml:space="preserve">in force at any time. The rules, </w:t>
      </w:r>
      <w:proofErr w:type="gramStart"/>
      <w:r w:rsidRPr="007330FC">
        <w:rPr>
          <w:lang w:val="en-GB" w:bidi="en-GB"/>
        </w:rPr>
        <w:t>regulations</w:t>
      </w:r>
      <w:proofErr w:type="gramEnd"/>
      <w:r w:rsidRPr="007330FC">
        <w:rPr>
          <w:lang w:val="en-GB" w:bidi="en-GB"/>
        </w:rPr>
        <w:t xml:space="preserve"> and </w:t>
      </w:r>
      <w:r w:rsidR="00C70D1B">
        <w:rPr>
          <w:lang w:val="en-GB" w:bidi="en-GB"/>
        </w:rPr>
        <w:t xml:space="preserve">requirements </w:t>
      </w:r>
      <w:r w:rsidRPr="007330FC">
        <w:rPr>
          <w:lang w:val="en-GB" w:bidi="en-GB"/>
        </w:rPr>
        <w:t xml:space="preserve">in force on the date of conclusion of the Agreement are listed in </w:t>
      </w:r>
      <w:r w:rsidRPr="007330FC">
        <w:rPr>
          <w:b/>
          <w:lang w:val="en-GB" w:bidi="en-GB"/>
        </w:rPr>
        <w:t>Appendix 7</w:t>
      </w:r>
      <w:r w:rsidRPr="007330FC">
        <w:rPr>
          <w:lang w:val="en-GB" w:bidi="en-GB"/>
        </w:rPr>
        <w:t>.</w:t>
      </w:r>
    </w:p>
    <w:p w:rsidRPr="007330FC" w:rsidR="000A3EA7" w:rsidP="00487036" w:rsidRDefault="000A3EA7" w14:paraId="05E06ED1" w14:textId="77777777">
      <w:pPr>
        <w:pStyle w:val="Ingenafstand"/>
      </w:pPr>
    </w:p>
    <w:p w:rsidRPr="007330FC" w:rsidR="00B042F1" w:rsidP="00AF013F" w:rsidRDefault="00AF013F" w14:paraId="76FC24A8" w14:textId="0FB8B711">
      <w:r w:rsidRPr="007330FC">
        <w:rPr>
          <w:lang w:val="en-GB" w:bidi="en-GB"/>
        </w:rPr>
        <w:t xml:space="preserve">The start-up </w:t>
      </w:r>
      <w:r w:rsidR="00F64EA3">
        <w:rPr>
          <w:lang w:val="en-GB" w:bidi="en-GB"/>
        </w:rPr>
        <w:t xml:space="preserve">of engineering works </w:t>
      </w:r>
      <w:r w:rsidRPr="007330FC">
        <w:rPr>
          <w:lang w:val="en-GB" w:bidi="en-GB"/>
        </w:rPr>
        <w:t xml:space="preserve">and connection of the </w:t>
      </w:r>
      <w:r w:rsidR="00F64EA3">
        <w:rPr>
          <w:lang w:val="en-GB" w:bidi="en-GB"/>
        </w:rPr>
        <w:t xml:space="preserve">facility </w:t>
      </w:r>
      <w:r w:rsidRPr="007330FC">
        <w:rPr>
          <w:lang w:val="en-GB" w:bidi="en-GB"/>
        </w:rPr>
        <w:t xml:space="preserve">by the </w:t>
      </w:r>
      <w:r w:rsidR="00B0056C">
        <w:rPr>
          <w:lang w:val="en-GB" w:bidi="en-GB"/>
        </w:rPr>
        <w:t>DSO</w:t>
      </w:r>
      <w:r w:rsidRPr="007330FC">
        <w:rPr>
          <w:lang w:val="en-GB" w:bidi="en-GB"/>
        </w:rPr>
        <w:t xml:space="preserve"> under this Agreement is subject to the signing of this Agreement by both the Facility Owner and the </w:t>
      </w:r>
      <w:r w:rsidR="00B0056C">
        <w:rPr>
          <w:lang w:val="en-GB" w:bidi="en-GB"/>
        </w:rPr>
        <w:lastRenderedPageBreak/>
        <w:t>DSO</w:t>
      </w:r>
      <w:r w:rsidRPr="007330FC">
        <w:rPr>
          <w:lang w:val="en-GB" w:bidi="en-GB"/>
        </w:rPr>
        <w:t xml:space="preserve">. If this is not done within 30 days of submission of the Agreement by the </w:t>
      </w:r>
      <w:r w:rsidR="00B0056C">
        <w:rPr>
          <w:lang w:val="en-GB" w:bidi="en-GB"/>
        </w:rPr>
        <w:t>DSO</w:t>
      </w:r>
      <w:r w:rsidRPr="007330FC">
        <w:rPr>
          <w:lang w:val="en-GB" w:bidi="en-GB"/>
        </w:rPr>
        <w:t>, the Agreement must be renegotiated.</w:t>
      </w:r>
    </w:p>
    <w:p w:rsidRPr="007330FC" w:rsidR="00B042F1" w:rsidP="001F2421" w:rsidRDefault="00B042F1" w14:paraId="0E00FC9C" w14:textId="77777777">
      <w:pPr>
        <w:pStyle w:val="Ingenafstand"/>
      </w:pPr>
    </w:p>
    <w:p w:rsidR="00B042F1" w:rsidP="00B042F1" w:rsidRDefault="00B042F1" w14:paraId="5FFC5180" w14:textId="4CB39DFC">
      <w:pPr>
        <w:rPr>
          <w:lang w:val="en-GB" w:bidi="en-GB"/>
        </w:rPr>
      </w:pPr>
      <w:r w:rsidRPr="007330FC">
        <w:rPr>
          <w:lang w:val="en-GB" w:bidi="en-GB"/>
        </w:rPr>
        <w:t xml:space="preserve">The </w:t>
      </w:r>
      <w:r w:rsidR="00B0056C">
        <w:rPr>
          <w:lang w:val="en-GB" w:bidi="en-GB"/>
        </w:rPr>
        <w:t>DSO</w:t>
      </w:r>
      <w:r w:rsidRPr="007330FC">
        <w:rPr>
          <w:lang w:val="en-GB" w:bidi="en-GB"/>
        </w:rPr>
        <w:t xml:space="preserve"> is responsible for ensuring that the point of connection (POC), point of common coupling (PCC), point of communication (PCOM) and ownership </w:t>
      </w:r>
      <w:r w:rsidR="00FF277D">
        <w:rPr>
          <w:lang w:val="en-GB" w:bidi="en-GB"/>
        </w:rPr>
        <w:t xml:space="preserve">boundary </w:t>
      </w:r>
      <w:r w:rsidRPr="007330FC">
        <w:rPr>
          <w:lang w:val="en-GB" w:bidi="en-GB"/>
        </w:rPr>
        <w:t xml:space="preserve">of the demand facility are established in accordance with applicable regulations and indicated on the layout drawing and single-line representation in </w:t>
      </w:r>
      <w:r w:rsidRPr="007330FC">
        <w:rPr>
          <w:b/>
          <w:lang w:val="en-GB" w:bidi="en-GB"/>
        </w:rPr>
        <w:t>Appendix 3</w:t>
      </w:r>
      <w:r w:rsidRPr="007330FC">
        <w:rPr>
          <w:lang w:val="en-GB" w:bidi="en-GB"/>
        </w:rPr>
        <w:t>.</w:t>
      </w:r>
    </w:p>
    <w:p w:rsidRPr="00A579BD" w:rsidR="002969A1" w:rsidP="00A579BD" w:rsidRDefault="002969A1" w14:paraId="7DCAEA8C" w14:textId="77777777">
      <w:pPr>
        <w:pStyle w:val="Ingenafstand"/>
        <w:rPr>
          <w:lang w:val="en-GB" w:bidi="en-GB"/>
        </w:rPr>
      </w:pPr>
    </w:p>
    <w:p w:rsidRPr="00457447" w:rsidR="00457447" w:rsidP="00457447" w:rsidRDefault="00457447" w14:paraId="2A847E60" w14:textId="21C0A0FE">
      <w:r>
        <w:rPr>
          <w:lang w:val="en-GB" w:bidi="en-GB"/>
        </w:rPr>
        <w:t xml:space="preserve">The technical </w:t>
      </w:r>
      <w:r w:rsidR="00F64EA3">
        <w:rPr>
          <w:lang w:val="en-GB" w:bidi="en-GB"/>
        </w:rPr>
        <w:t xml:space="preserve">data </w:t>
      </w:r>
      <w:r>
        <w:rPr>
          <w:lang w:val="en-GB" w:bidi="en-GB"/>
        </w:rPr>
        <w:t xml:space="preserve">for the grid connection, including control and monitoring equipment, is specified in </w:t>
      </w:r>
      <w:r>
        <w:rPr>
          <w:b/>
          <w:lang w:val="en-GB" w:bidi="en-GB"/>
        </w:rPr>
        <w:t>Appendix 3</w:t>
      </w:r>
      <w:r>
        <w:rPr>
          <w:lang w:val="en-GB" w:bidi="en-GB"/>
        </w:rPr>
        <w:t>.</w:t>
      </w:r>
    </w:p>
    <w:p w:rsidRPr="007330FC" w:rsidR="00B042F1" w:rsidP="001F2421" w:rsidRDefault="00B042F1" w14:paraId="5F7C2D1B" w14:textId="15794C8D">
      <w:pPr>
        <w:pStyle w:val="Ingenafstand"/>
      </w:pPr>
    </w:p>
    <w:p w:rsidR="00B042F1" w:rsidP="00B042F1" w:rsidRDefault="000F6B61" w14:paraId="7B4A38C7" w14:textId="1A3447D4">
      <w:r w:rsidRPr="0052462A">
        <w:rPr>
          <w:lang w:val="en-GB" w:bidi="en-GB"/>
        </w:rPr>
        <w:t xml:space="preserve">The Facility Owner bears all direct grid connection costs, including </w:t>
      </w:r>
      <w:r w:rsidR="00F64EA3">
        <w:rPr>
          <w:lang w:val="en-GB" w:bidi="en-GB"/>
        </w:rPr>
        <w:t xml:space="preserve">administrative </w:t>
      </w:r>
      <w:r w:rsidRPr="0052462A">
        <w:rPr>
          <w:lang w:val="en-GB" w:bidi="en-GB"/>
        </w:rPr>
        <w:t xml:space="preserve">and design costs as well as costs relating to the establishment of control systems, communication channels, </w:t>
      </w:r>
      <w:proofErr w:type="gramStart"/>
      <w:r w:rsidRPr="0052462A">
        <w:rPr>
          <w:lang w:val="en-GB" w:bidi="en-GB"/>
        </w:rPr>
        <w:t>meters</w:t>
      </w:r>
      <w:proofErr w:type="gramEnd"/>
      <w:r w:rsidRPr="0052462A">
        <w:rPr>
          <w:lang w:val="en-GB" w:bidi="en-GB"/>
        </w:rPr>
        <w:t xml:space="preserve"> and online measurements. This also includes any online measurements in the </w:t>
      </w:r>
      <w:r w:rsidR="00B0056C">
        <w:rPr>
          <w:lang w:val="en-GB" w:bidi="en-GB"/>
        </w:rPr>
        <w:t>DSO</w:t>
      </w:r>
      <w:r w:rsidRPr="0052462A">
        <w:rPr>
          <w:lang w:val="en-GB" w:bidi="en-GB"/>
        </w:rPr>
        <w:t>’s facilities which are necessary for the facility’s grid connection and/or the provision of regulating reserves to the TSO</w:t>
      </w:r>
      <w:r w:rsidR="00F64EA3">
        <w:rPr>
          <w:lang w:val="en-GB" w:bidi="en-GB"/>
        </w:rPr>
        <w:t>,</w:t>
      </w:r>
      <w:r w:rsidRPr="0052462A">
        <w:rPr>
          <w:lang w:val="en-GB" w:bidi="en-GB"/>
        </w:rPr>
        <w:t xml:space="preserve"> Energinet. The costs payable by the Facility Owner are specified by the </w:t>
      </w:r>
      <w:r w:rsidR="00B0056C">
        <w:rPr>
          <w:lang w:val="en-GB" w:bidi="en-GB"/>
        </w:rPr>
        <w:t>DSO</w:t>
      </w:r>
      <w:r w:rsidRPr="0052462A">
        <w:rPr>
          <w:lang w:val="en-GB" w:bidi="en-GB"/>
        </w:rPr>
        <w:t xml:space="preserve"> in </w:t>
      </w:r>
      <w:r w:rsidRPr="0052462A">
        <w:rPr>
          <w:b/>
          <w:lang w:val="en-GB" w:bidi="en-GB"/>
        </w:rPr>
        <w:t>Appendix 2</w:t>
      </w:r>
      <w:r w:rsidRPr="0052462A">
        <w:rPr>
          <w:lang w:val="en-GB" w:bidi="en-GB"/>
        </w:rPr>
        <w:t>.</w:t>
      </w:r>
    </w:p>
    <w:p w:rsidR="000F6B61" w:rsidP="000F6B61" w:rsidRDefault="000F6B61" w14:paraId="6C06A8F0" w14:textId="568BFBA2">
      <w:pPr>
        <w:pStyle w:val="Ingenafstand"/>
      </w:pPr>
    </w:p>
    <w:p w:rsidRPr="000F6B61" w:rsidR="000F6B61" w:rsidP="000F6B61" w:rsidRDefault="000F6B61" w14:paraId="53415B87" w14:textId="08CE9570">
      <w:r w:rsidRPr="0052462A">
        <w:rPr>
          <w:lang w:val="en-GB" w:bidi="en-GB"/>
        </w:rPr>
        <w:t xml:space="preserve">The Facility Owner pays the normal connection </w:t>
      </w:r>
      <w:r w:rsidR="00F64EA3">
        <w:rPr>
          <w:lang w:val="en-GB" w:bidi="en-GB"/>
        </w:rPr>
        <w:t xml:space="preserve">fee </w:t>
      </w:r>
      <w:r w:rsidRPr="0052462A">
        <w:rPr>
          <w:lang w:val="en-GB" w:bidi="en-GB"/>
        </w:rPr>
        <w:t xml:space="preserve">for the part of the facility’s </w:t>
      </w:r>
      <w:r w:rsidR="00A35C4D">
        <w:rPr>
          <w:lang w:val="en-GB" w:bidi="en-GB"/>
        </w:rPr>
        <w:t>power</w:t>
      </w:r>
      <w:r w:rsidRPr="0052462A">
        <w:rPr>
          <w:lang w:val="en-GB" w:bidi="en-GB"/>
        </w:rPr>
        <w:t xml:space="preserve"> which </w:t>
      </w:r>
      <w:proofErr w:type="gramStart"/>
      <w:r w:rsidRPr="0052462A">
        <w:rPr>
          <w:lang w:val="en-GB" w:bidi="en-GB"/>
        </w:rPr>
        <w:t>is connected with</w:t>
      </w:r>
      <w:proofErr w:type="gramEnd"/>
      <w:r w:rsidRPr="0052462A">
        <w:rPr>
          <w:lang w:val="en-GB" w:bidi="en-GB"/>
        </w:rPr>
        <w:t xml:space="preserve"> normal grid access. The connection </w:t>
      </w:r>
      <w:r w:rsidR="00F64EA3">
        <w:rPr>
          <w:lang w:val="en-GB" w:bidi="en-GB"/>
        </w:rPr>
        <w:t xml:space="preserve">fee </w:t>
      </w:r>
      <w:r w:rsidRPr="0052462A">
        <w:rPr>
          <w:lang w:val="en-GB" w:bidi="en-GB"/>
        </w:rPr>
        <w:t xml:space="preserve">is specified in </w:t>
      </w:r>
      <w:r w:rsidRPr="0052462A">
        <w:rPr>
          <w:b/>
          <w:lang w:val="en-GB" w:bidi="en-GB"/>
        </w:rPr>
        <w:t>Appendix 2</w:t>
      </w:r>
      <w:r w:rsidRPr="0052462A">
        <w:rPr>
          <w:lang w:val="en-GB" w:bidi="en-GB"/>
        </w:rPr>
        <w:t>.</w:t>
      </w:r>
    </w:p>
    <w:p w:rsidRPr="007330FC" w:rsidR="00B042F1" w:rsidP="001F2421" w:rsidRDefault="00B042F1" w14:paraId="096EDFB1" w14:textId="77777777">
      <w:pPr>
        <w:pStyle w:val="Ingenafstand"/>
      </w:pPr>
    </w:p>
    <w:p w:rsidRPr="007330FC" w:rsidR="00133062" w:rsidP="00133062" w:rsidRDefault="00133062" w14:paraId="4668C6EC" w14:textId="78479225">
      <w:pPr>
        <w:pStyle w:val="Overskrift1"/>
      </w:pPr>
      <w:r w:rsidRPr="007330FC">
        <w:rPr>
          <w:lang w:val="en-GB" w:bidi="en-GB"/>
        </w:rPr>
        <w:t xml:space="preserve"> </w:t>
      </w:r>
      <w:bookmarkStart w:name="_Toc44067832" w:id="4"/>
      <w:r w:rsidRPr="007330FC">
        <w:rPr>
          <w:lang w:val="en-GB" w:bidi="en-GB"/>
        </w:rPr>
        <w:t>Special requirements for the grid connection</w:t>
      </w:r>
      <w:bookmarkEnd w:id="4"/>
    </w:p>
    <w:p w:rsidRPr="007330FC" w:rsidR="00133062" w:rsidP="00133062" w:rsidRDefault="004E6751" w14:paraId="3CA41889" w14:textId="1658524B">
      <w:pPr>
        <w:rPr>
          <w:b/>
        </w:rPr>
      </w:pPr>
      <w:r>
        <w:rPr>
          <w:lang w:val="en-GB" w:bidi="en-GB"/>
        </w:rPr>
        <w:t xml:space="preserve">Special requirements for the demand connection and operation agreed between the parties must be specified in </w:t>
      </w:r>
      <w:r>
        <w:rPr>
          <w:b/>
          <w:lang w:val="en-GB" w:bidi="en-GB"/>
        </w:rPr>
        <w:t>Appendix 4.</w:t>
      </w:r>
    </w:p>
    <w:p w:rsidRPr="007330FC" w:rsidR="006737EB" w:rsidP="006737EB" w:rsidRDefault="006737EB" w14:paraId="3CA663C8" w14:textId="564EB3C4">
      <w:pPr>
        <w:pStyle w:val="Ingenafstand"/>
      </w:pPr>
    </w:p>
    <w:p w:rsidRPr="007330FC" w:rsidR="006737EB" w:rsidP="006737EB" w:rsidRDefault="006737EB" w14:paraId="24534451" w14:textId="6DB38482">
      <w:r w:rsidRPr="007330FC">
        <w:rPr>
          <w:lang w:val="en-GB" w:bidi="en-GB"/>
        </w:rPr>
        <w:t xml:space="preserve">If the demand facility deviates from the </w:t>
      </w:r>
      <w:r w:rsidR="00B0056C">
        <w:rPr>
          <w:lang w:val="en-GB" w:bidi="en-GB"/>
        </w:rPr>
        <w:t>technical requirements</w:t>
      </w:r>
      <w:r w:rsidRPr="007330FC">
        <w:rPr>
          <w:lang w:val="en-GB" w:bidi="en-GB"/>
        </w:rPr>
        <w:t xml:space="preserve">, the Facility Owner may seek an exemption from specific requirements from the </w:t>
      </w:r>
      <w:r w:rsidR="00B0056C">
        <w:rPr>
          <w:lang w:val="en-GB" w:bidi="en-GB"/>
        </w:rPr>
        <w:t>DSO</w:t>
      </w:r>
      <w:r w:rsidRPr="007330FC">
        <w:rPr>
          <w:lang w:val="en-GB" w:bidi="en-GB"/>
        </w:rPr>
        <w:t xml:space="preserve">, see </w:t>
      </w:r>
      <w:r w:rsidRPr="007330FC">
        <w:rPr>
          <w:b/>
          <w:lang w:val="en-GB" w:bidi="en-GB"/>
        </w:rPr>
        <w:t>Appendix 4</w:t>
      </w:r>
      <w:r w:rsidRPr="007330FC">
        <w:rPr>
          <w:lang w:val="en-GB" w:bidi="en-GB"/>
        </w:rPr>
        <w:t>.</w:t>
      </w:r>
    </w:p>
    <w:p w:rsidRPr="007330FC" w:rsidR="00451DC0" w:rsidP="00451DC0" w:rsidRDefault="00451DC0" w14:paraId="047CD9E1" w14:textId="3A3308B4">
      <w:pPr>
        <w:pStyle w:val="Ingenafstand"/>
      </w:pPr>
    </w:p>
    <w:p w:rsidRPr="007330FC" w:rsidR="00451DC0" w:rsidRDefault="00451DC0" w14:paraId="52E1B097" w14:textId="6AB2ED66">
      <w:r w:rsidRPr="007330FC">
        <w:rPr>
          <w:lang w:val="en-GB" w:bidi="en-GB"/>
        </w:rPr>
        <w:t xml:space="preserve">In special cases, the </w:t>
      </w:r>
      <w:r w:rsidR="00B0056C">
        <w:rPr>
          <w:lang w:val="en-GB" w:bidi="en-GB"/>
        </w:rPr>
        <w:t>DSO</w:t>
      </w:r>
      <w:r w:rsidRPr="007330FC">
        <w:rPr>
          <w:lang w:val="en-GB" w:bidi="en-GB"/>
        </w:rPr>
        <w:t xml:space="preserve"> may grant an exemption from the </w:t>
      </w:r>
      <w:r w:rsidR="00B0056C">
        <w:rPr>
          <w:lang w:val="en-GB" w:bidi="en-GB"/>
        </w:rPr>
        <w:t>technical requirements</w:t>
      </w:r>
      <w:r w:rsidRPr="007330FC">
        <w:rPr>
          <w:lang w:val="en-GB" w:bidi="en-GB"/>
        </w:rPr>
        <w:t xml:space="preserve"> in accordance with criteria established by the Danish Utility Regulator pursuant to NC DCC.</w:t>
      </w:r>
    </w:p>
    <w:p w:rsidRPr="007330FC" w:rsidR="00EA5E5B" w:rsidP="00EA5E5B" w:rsidRDefault="00EA5E5B" w14:paraId="34395A18" w14:textId="1742265C">
      <w:pPr>
        <w:pStyle w:val="Ingenafstand"/>
      </w:pPr>
    </w:p>
    <w:p w:rsidRPr="007330FC" w:rsidR="00EA5E5B" w:rsidRDefault="00451DC0" w14:paraId="5FC65084" w14:textId="6D4A4BB3">
      <w:r w:rsidRPr="007330FC">
        <w:rPr>
          <w:lang w:val="en-GB" w:bidi="en-GB"/>
        </w:rPr>
        <w:t xml:space="preserve">The </w:t>
      </w:r>
      <w:r w:rsidR="00B0056C">
        <w:rPr>
          <w:lang w:val="en-GB" w:bidi="en-GB"/>
        </w:rPr>
        <w:t>DSO</w:t>
      </w:r>
      <w:r w:rsidRPr="007330FC">
        <w:rPr>
          <w:lang w:val="en-GB" w:bidi="en-GB"/>
        </w:rPr>
        <w:t xml:space="preserve"> is obliged to submit a request to the Danish Utility Regulator for approval when required.</w:t>
      </w:r>
    </w:p>
    <w:p w:rsidRPr="007330FC" w:rsidR="00225469" w:rsidP="00225469" w:rsidRDefault="00225469" w14:paraId="4A0B61AA" w14:textId="291E24B0">
      <w:pPr>
        <w:pStyle w:val="Ingenafstand"/>
      </w:pPr>
    </w:p>
    <w:p w:rsidRPr="007330FC" w:rsidR="00315DA2" w:rsidRDefault="00315DA2" w14:paraId="49B26652" w14:textId="56A27AEE">
      <w:pPr>
        <w:pStyle w:val="Overskrift1"/>
      </w:pPr>
      <w:r w:rsidRPr="007330FC">
        <w:rPr>
          <w:lang w:val="en-GB" w:bidi="en-GB"/>
        </w:rPr>
        <w:t xml:space="preserve">  </w:t>
      </w:r>
      <w:bookmarkStart w:name="_Toc44067833" w:id="5"/>
      <w:r w:rsidRPr="007330FC">
        <w:rPr>
          <w:lang w:val="en-GB" w:bidi="en-GB"/>
        </w:rPr>
        <w:t>Grid connection and verification</w:t>
      </w:r>
      <w:bookmarkEnd w:id="5"/>
    </w:p>
    <w:p w:rsidRPr="007330FC" w:rsidR="006014F9" w:rsidP="009F32C2" w:rsidRDefault="005B6D8B" w14:paraId="3252E56B" w14:textId="56471693">
      <w:r w:rsidRPr="007330FC">
        <w:rPr>
          <w:lang w:val="en-GB" w:bidi="en-GB"/>
        </w:rPr>
        <w:t xml:space="preserve">The </w:t>
      </w:r>
      <w:r w:rsidR="00B0056C">
        <w:rPr>
          <w:lang w:val="en-GB" w:bidi="en-GB"/>
        </w:rPr>
        <w:t>DSO</w:t>
      </w:r>
      <w:r w:rsidRPr="007330FC">
        <w:rPr>
          <w:lang w:val="en-GB" w:bidi="en-GB"/>
        </w:rPr>
        <w:t xml:space="preserve"> indicates the point of connection and determines the voltage level </w:t>
      </w:r>
      <w:proofErr w:type="gramStart"/>
      <w:r w:rsidRPr="007330FC">
        <w:rPr>
          <w:lang w:val="en-GB" w:bidi="en-GB"/>
        </w:rPr>
        <w:t>on the basis of</w:t>
      </w:r>
      <w:proofErr w:type="gramEnd"/>
      <w:r w:rsidRPr="007330FC">
        <w:rPr>
          <w:lang w:val="en-GB" w:bidi="en-GB"/>
        </w:rPr>
        <w:t xml:space="preserve"> objective criteria.</w:t>
      </w:r>
    </w:p>
    <w:p w:rsidRPr="007330FC" w:rsidR="0086342E" w:rsidP="0086342E" w:rsidRDefault="0086342E" w14:paraId="63A45715" w14:textId="32AD9EF7">
      <w:pPr>
        <w:pStyle w:val="Ingenafstand"/>
      </w:pPr>
    </w:p>
    <w:p w:rsidRPr="007330FC" w:rsidR="0086342E" w:rsidP="0086342E" w:rsidRDefault="000026EA" w14:paraId="49B83781" w14:textId="0039EBAF">
      <w:r w:rsidRPr="007330FC">
        <w:rPr>
          <w:lang w:val="en-GB" w:bidi="en-GB"/>
        </w:rPr>
        <w:t xml:space="preserve">The Facility Owner must inform the </w:t>
      </w:r>
      <w:r w:rsidR="00B0056C">
        <w:rPr>
          <w:lang w:val="en-GB" w:bidi="en-GB"/>
        </w:rPr>
        <w:t>DSO</w:t>
      </w:r>
      <w:r w:rsidRPr="007330FC">
        <w:rPr>
          <w:lang w:val="en-GB" w:bidi="en-GB"/>
        </w:rPr>
        <w:t xml:space="preserve"> if the Facility Owner wants to provide ancillary services. </w:t>
      </w:r>
    </w:p>
    <w:p w:rsidRPr="007330FC" w:rsidR="008A1C2D" w:rsidP="008A1C2D" w:rsidRDefault="008A1C2D" w14:paraId="6E36A62F" w14:textId="77777777">
      <w:pPr>
        <w:pStyle w:val="Ingenafstand"/>
      </w:pPr>
    </w:p>
    <w:p w:rsidR="008A1C2D" w:rsidP="009D206D" w:rsidRDefault="004B151E" w14:paraId="03024161" w14:textId="194D17DC">
      <w:r w:rsidRPr="007330FC">
        <w:rPr>
          <w:lang w:val="en-GB" w:bidi="en-GB"/>
        </w:rPr>
        <w:lastRenderedPageBreak/>
        <w:t xml:space="preserve">The Facility Owner must inform the </w:t>
      </w:r>
      <w:r w:rsidR="00B0056C">
        <w:rPr>
          <w:lang w:val="en-GB" w:bidi="en-GB"/>
        </w:rPr>
        <w:t>DSO</w:t>
      </w:r>
      <w:r w:rsidRPr="007330FC">
        <w:rPr>
          <w:lang w:val="en-GB" w:bidi="en-GB"/>
        </w:rPr>
        <w:t xml:space="preserve"> of the demand facility’s </w:t>
      </w:r>
      <w:r w:rsidR="00F64EA3">
        <w:rPr>
          <w:lang w:val="en-GB" w:bidi="en-GB"/>
        </w:rPr>
        <w:t xml:space="preserve">nameplate </w:t>
      </w:r>
      <w:r w:rsidRPr="007330FC">
        <w:rPr>
          <w:lang w:val="en-GB" w:bidi="en-GB"/>
        </w:rPr>
        <w:t xml:space="preserve">data, which the </w:t>
      </w:r>
      <w:r w:rsidR="00B0056C">
        <w:rPr>
          <w:lang w:val="en-GB" w:bidi="en-GB"/>
        </w:rPr>
        <w:t>DSO</w:t>
      </w:r>
      <w:r w:rsidRPr="007330FC">
        <w:rPr>
          <w:lang w:val="en-GB" w:bidi="en-GB"/>
        </w:rPr>
        <w:t xml:space="preserve"> then passes on and maintains according to the applicable rules in force at any time.</w:t>
      </w:r>
    </w:p>
    <w:p w:rsidR="00BD1179" w:rsidP="00BD1179" w:rsidRDefault="00BD1179" w14:paraId="68377572" w14:textId="79309EB1">
      <w:pPr>
        <w:pStyle w:val="Ingenafstand"/>
      </w:pPr>
    </w:p>
    <w:p w:rsidRPr="00BD1179" w:rsidR="00BD1179" w:rsidP="00BD1179" w:rsidRDefault="00BD1179" w14:paraId="5944E95B" w14:textId="3D9910BD">
      <w:r w:rsidRPr="007330FC">
        <w:rPr>
          <w:lang w:val="en-GB" w:bidi="en-GB"/>
        </w:rPr>
        <w:t xml:space="preserve">A signed agreement on the connection of electrical installations must be concluded between the person responsible for operations at the </w:t>
      </w:r>
      <w:r w:rsidR="00B0056C">
        <w:rPr>
          <w:lang w:val="en-GB" w:bidi="en-GB"/>
        </w:rPr>
        <w:t>DSO</w:t>
      </w:r>
      <w:r w:rsidRPr="007330FC">
        <w:rPr>
          <w:lang w:val="en-GB" w:bidi="en-GB"/>
        </w:rPr>
        <w:t xml:space="preserve"> and the person responsible for operations at the demand facility prior to energisation of the facility.</w:t>
      </w:r>
    </w:p>
    <w:p w:rsidRPr="007330FC" w:rsidR="00653EA4" w:rsidP="00653EA4" w:rsidRDefault="00653EA4" w14:paraId="24DBF2B9" w14:textId="7928D3B9">
      <w:pPr>
        <w:pStyle w:val="Ingenafstand"/>
      </w:pPr>
    </w:p>
    <w:p w:rsidRPr="007330FC" w:rsidR="003829F4" w:rsidP="009B1467" w:rsidRDefault="003829F4" w14:paraId="39A6F041" w14:textId="1626AE5A">
      <w:pPr>
        <w:numPr>
          <w:ilvl w:val="0"/>
          <w:numId w:val="0"/>
        </w:numPr>
        <w:ind w:left="578" w:hanging="578"/>
      </w:pPr>
    </w:p>
    <w:p w:rsidRPr="007330FC" w:rsidR="00091A4C" w:rsidP="00AE1991" w:rsidRDefault="00091A4C" w14:paraId="438DAD62" w14:textId="67AA1E8C">
      <w:pPr>
        <w:pStyle w:val="Ingenafstand"/>
        <w:ind w:left="0"/>
        <w:rPr>
          <w:b/>
        </w:rPr>
      </w:pPr>
      <w:r w:rsidRPr="007330FC">
        <w:rPr>
          <w:b/>
          <w:lang w:val="en-GB" w:bidi="en-GB"/>
        </w:rPr>
        <w:t>Final operational notification (FON)</w:t>
      </w:r>
    </w:p>
    <w:p w:rsidRPr="007330FC" w:rsidR="0007082D" w:rsidP="00AE1991" w:rsidRDefault="0007082D" w14:paraId="0462CE8F" w14:textId="77777777">
      <w:pPr>
        <w:pStyle w:val="Ingenafstand"/>
        <w:ind w:left="0"/>
        <w:rPr>
          <w:b/>
        </w:rPr>
      </w:pPr>
    </w:p>
    <w:p w:rsidRPr="007330FC" w:rsidR="00C9605F" w:rsidP="006E7CD6" w:rsidRDefault="003829F4" w14:paraId="5C11BC76" w14:textId="62C2F5DF">
      <w:pPr>
        <w:rPr>
          <w:b/>
        </w:rPr>
      </w:pPr>
      <w:r w:rsidRPr="007330FC">
        <w:rPr>
          <w:lang w:val="en-GB" w:bidi="en-GB"/>
        </w:rPr>
        <w:t xml:space="preserve">Prior to issuing the final operational notification for the demand facility, the Facility Owner must provide technical documentation and conformity tests as per the </w:t>
      </w:r>
      <w:r w:rsidR="00B0056C">
        <w:rPr>
          <w:lang w:val="en-GB" w:bidi="en-GB"/>
        </w:rPr>
        <w:t>DSO</w:t>
      </w:r>
      <w:r w:rsidRPr="007330FC">
        <w:rPr>
          <w:lang w:val="en-GB" w:bidi="en-GB"/>
        </w:rPr>
        <w:t xml:space="preserve">’s </w:t>
      </w:r>
      <w:r w:rsidR="00B0056C">
        <w:rPr>
          <w:lang w:val="en-GB" w:bidi="en-GB"/>
        </w:rPr>
        <w:t>technical requirements</w:t>
      </w:r>
      <w:r w:rsidRPr="007330FC">
        <w:rPr>
          <w:lang w:val="en-GB" w:bidi="en-GB"/>
        </w:rPr>
        <w:t xml:space="preserve">. The results must be attached to </w:t>
      </w:r>
      <w:r w:rsidRPr="007330FC">
        <w:rPr>
          <w:b/>
          <w:lang w:val="en-GB" w:bidi="en-GB"/>
        </w:rPr>
        <w:t>Appendix 5</w:t>
      </w:r>
      <w:r w:rsidRPr="007330FC">
        <w:rPr>
          <w:lang w:val="en-GB" w:bidi="en-GB"/>
        </w:rPr>
        <w:t xml:space="preserve"> of the Agreement.</w:t>
      </w:r>
    </w:p>
    <w:p w:rsidRPr="007330FC" w:rsidR="00F45E37" w:rsidP="00F45E37" w:rsidRDefault="00F45E37" w14:paraId="7BF8EFB4" w14:textId="3974E469">
      <w:pPr>
        <w:pStyle w:val="Ingenafstand"/>
      </w:pPr>
    </w:p>
    <w:p w:rsidRPr="007330FC" w:rsidR="000135EE" w:rsidP="000135EE" w:rsidRDefault="005B6D8B" w14:paraId="0536249F" w14:textId="6C5F4792">
      <w:r w:rsidRPr="007330FC">
        <w:rPr>
          <w:lang w:val="en-GB" w:bidi="en-GB"/>
        </w:rPr>
        <w:t xml:space="preserve">The </w:t>
      </w:r>
      <w:r w:rsidR="00B0056C">
        <w:rPr>
          <w:lang w:val="en-GB" w:bidi="en-GB"/>
        </w:rPr>
        <w:t>DSO</w:t>
      </w:r>
      <w:r w:rsidRPr="007330FC">
        <w:rPr>
          <w:lang w:val="en-GB" w:bidi="en-GB"/>
        </w:rPr>
        <w:t xml:space="preserve"> must issue the final operational notification once it has approved the results. The final operational notification must be attached to </w:t>
      </w:r>
      <w:r w:rsidRPr="007330FC">
        <w:rPr>
          <w:b/>
          <w:lang w:val="en-GB" w:bidi="en-GB"/>
        </w:rPr>
        <w:t>Appendix 6</w:t>
      </w:r>
      <w:r w:rsidRPr="007330FC">
        <w:rPr>
          <w:lang w:val="en-GB" w:bidi="en-GB"/>
        </w:rPr>
        <w:t xml:space="preserve"> of the Agreement.</w:t>
      </w:r>
    </w:p>
    <w:p w:rsidRPr="007330FC" w:rsidR="000135EE" w:rsidP="00F45E37" w:rsidRDefault="000135EE" w14:paraId="7E0E49E7" w14:textId="77777777">
      <w:pPr>
        <w:pStyle w:val="Ingenafstand"/>
      </w:pPr>
    </w:p>
    <w:p w:rsidRPr="007330FC" w:rsidR="00F45E37" w:rsidP="00F45E37" w:rsidRDefault="00F45E37" w14:paraId="3434ECAF" w14:textId="0B2DDA9A">
      <w:r w:rsidRPr="007330FC">
        <w:rPr>
          <w:lang w:val="en-GB" w:bidi="en-GB"/>
        </w:rPr>
        <w:t xml:space="preserve">If the </w:t>
      </w:r>
      <w:r w:rsidR="00B0056C">
        <w:rPr>
          <w:lang w:val="en-GB" w:bidi="en-GB"/>
        </w:rPr>
        <w:t>DSO</w:t>
      </w:r>
      <w:r w:rsidRPr="007330FC">
        <w:rPr>
          <w:lang w:val="en-GB" w:bidi="en-GB"/>
        </w:rPr>
        <w:t xml:space="preserve"> does not receive the result</w:t>
      </w:r>
      <w:r w:rsidR="00BD1A07">
        <w:rPr>
          <w:lang w:val="en-GB" w:bidi="en-GB"/>
        </w:rPr>
        <w:t>s</w:t>
      </w:r>
      <w:r w:rsidRPr="007330FC">
        <w:rPr>
          <w:lang w:val="en-GB" w:bidi="en-GB"/>
        </w:rPr>
        <w:t xml:space="preserve"> of conformity tests within 30 days of connection of the facility, the </w:t>
      </w:r>
      <w:r w:rsidR="00B0056C">
        <w:rPr>
          <w:lang w:val="en-GB" w:bidi="en-GB"/>
        </w:rPr>
        <w:t>DSO</w:t>
      </w:r>
      <w:r w:rsidRPr="007330FC">
        <w:rPr>
          <w:lang w:val="en-GB" w:bidi="en-GB"/>
        </w:rPr>
        <w:t xml:space="preserve"> is entitled to demand that the demand facility be disconnected. </w:t>
      </w:r>
    </w:p>
    <w:p w:rsidRPr="007330FC" w:rsidR="00F45E37" w:rsidP="00F45E37" w:rsidRDefault="00F45E37" w14:paraId="6D68C55F" w14:textId="77777777">
      <w:pPr>
        <w:pStyle w:val="Ingenafstand"/>
      </w:pPr>
    </w:p>
    <w:p w:rsidR="00373FCE" w:rsidP="00B0056C" w:rsidRDefault="00F45E37" w14:paraId="20E08699" w14:textId="7927FD64">
      <w:r w:rsidRPr="007330FC">
        <w:rPr>
          <w:lang w:val="en-GB" w:bidi="en-GB"/>
        </w:rPr>
        <w:t xml:space="preserve">If the </w:t>
      </w:r>
      <w:r w:rsidR="00B0056C">
        <w:rPr>
          <w:lang w:val="en-GB" w:bidi="en-GB"/>
        </w:rPr>
        <w:t>DSO</w:t>
      </w:r>
      <w:r w:rsidRPr="007330FC">
        <w:rPr>
          <w:lang w:val="en-GB" w:bidi="en-GB"/>
        </w:rPr>
        <w:t xml:space="preserve"> finds that the demand facility does not comply with the applicable requirements based on the technical documentation and the result</w:t>
      </w:r>
      <w:r w:rsidR="00BD1A07">
        <w:rPr>
          <w:lang w:val="en-GB" w:bidi="en-GB"/>
        </w:rPr>
        <w:t>s</w:t>
      </w:r>
      <w:r w:rsidRPr="007330FC">
        <w:rPr>
          <w:lang w:val="en-GB" w:bidi="en-GB"/>
        </w:rPr>
        <w:t xml:space="preserve"> of conformity tests, a plan must be drawn up for the rectification of the outstanding issues identified. </w:t>
      </w:r>
    </w:p>
    <w:p w:rsidRPr="00B53FD3" w:rsidR="00B53FD3" w:rsidP="00B53FD3" w:rsidRDefault="00B53FD3" w14:paraId="307DE887" w14:textId="77777777">
      <w:pPr>
        <w:pStyle w:val="Ingenafstand"/>
      </w:pPr>
    </w:p>
    <w:p w:rsidRPr="007330FC" w:rsidR="00373FCE" w:rsidP="00373FCE" w:rsidRDefault="00373FCE" w14:paraId="4F4D3623" w14:textId="01840AF4">
      <w:r w:rsidRPr="007330FC">
        <w:rPr>
          <w:lang w:val="en-GB" w:bidi="en-GB"/>
        </w:rPr>
        <w:t xml:space="preserve">If the demand facility does not meet a requirement in the </w:t>
      </w:r>
      <w:r w:rsidR="00B0056C">
        <w:rPr>
          <w:lang w:val="en-GB" w:bidi="en-GB"/>
        </w:rPr>
        <w:t>DSO</w:t>
      </w:r>
      <w:r w:rsidRPr="007330FC">
        <w:rPr>
          <w:lang w:val="en-GB" w:bidi="en-GB"/>
        </w:rPr>
        <w:t xml:space="preserve">’s </w:t>
      </w:r>
      <w:r w:rsidR="00B0056C">
        <w:rPr>
          <w:lang w:val="en-GB" w:bidi="en-GB"/>
        </w:rPr>
        <w:t>technical requirements</w:t>
      </w:r>
      <w:r w:rsidRPr="007330FC">
        <w:rPr>
          <w:lang w:val="en-GB" w:bidi="en-GB"/>
        </w:rPr>
        <w:t xml:space="preserve">, an exemption may be sought, see </w:t>
      </w:r>
      <w:r w:rsidRPr="007330FC">
        <w:rPr>
          <w:b/>
          <w:lang w:val="en-GB" w:bidi="en-GB"/>
        </w:rPr>
        <w:t>clause 3.2</w:t>
      </w:r>
      <w:r w:rsidRPr="007330FC">
        <w:rPr>
          <w:lang w:val="en-GB" w:bidi="en-GB"/>
        </w:rPr>
        <w:t xml:space="preserve">. Approved exemptions must be inserted in </w:t>
      </w:r>
      <w:r w:rsidRPr="007330FC">
        <w:rPr>
          <w:b/>
          <w:lang w:val="en-GB" w:bidi="en-GB"/>
        </w:rPr>
        <w:t>Appendix 4</w:t>
      </w:r>
      <w:r w:rsidRPr="007330FC">
        <w:rPr>
          <w:lang w:val="en-GB" w:bidi="en-GB"/>
        </w:rPr>
        <w:t>.</w:t>
      </w:r>
    </w:p>
    <w:p w:rsidRPr="007330FC" w:rsidR="00373FCE" w:rsidP="00373FCE" w:rsidRDefault="00373FCE" w14:paraId="6022B38E" w14:textId="77777777">
      <w:pPr>
        <w:pStyle w:val="Ingenafstand"/>
      </w:pPr>
    </w:p>
    <w:p w:rsidRPr="007330FC" w:rsidR="005E5692" w:rsidP="0089056C" w:rsidRDefault="00373FCE" w14:paraId="5B5DBF42" w14:textId="70646451">
      <w:r w:rsidRPr="007330FC">
        <w:rPr>
          <w:lang w:val="en-GB" w:bidi="en-GB"/>
        </w:rPr>
        <w:t xml:space="preserve">If the Facility Owner is not granted an exemption from a technical requirement as per </w:t>
      </w:r>
      <w:r w:rsidRPr="007330FC">
        <w:rPr>
          <w:b/>
          <w:lang w:val="en-GB" w:bidi="en-GB"/>
        </w:rPr>
        <w:t>clause 4.9</w:t>
      </w:r>
      <w:r w:rsidRPr="007330FC">
        <w:rPr>
          <w:lang w:val="en-GB" w:bidi="en-GB"/>
        </w:rPr>
        <w:t xml:space="preserve">, the </w:t>
      </w:r>
      <w:r w:rsidR="00B0056C">
        <w:rPr>
          <w:lang w:val="en-GB" w:bidi="en-GB"/>
        </w:rPr>
        <w:t>DSO</w:t>
      </w:r>
      <w:r w:rsidRPr="007330FC">
        <w:rPr>
          <w:lang w:val="en-GB" w:bidi="en-GB"/>
        </w:rPr>
        <w:t xml:space="preserve"> is entitled to demand that the demand facility be disconnected until compliance with the </w:t>
      </w:r>
      <w:r w:rsidR="00B0056C">
        <w:rPr>
          <w:lang w:val="en-GB" w:bidi="en-GB"/>
        </w:rPr>
        <w:t>technical requirements</w:t>
      </w:r>
      <w:r w:rsidRPr="007330FC">
        <w:rPr>
          <w:lang w:val="en-GB" w:bidi="en-GB"/>
        </w:rPr>
        <w:t xml:space="preserve"> has been restored. </w:t>
      </w:r>
    </w:p>
    <w:p w:rsidRPr="007330FC" w:rsidR="00524F5D" w:rsidP="001F2421" w:rsidRDefault="00524F5D" w14:paraId="7A119DC4" w14:textId="77777777">
      <w:pPr>
        <w:pStyle w:val="Ingenafstand"/>
      </w:pPr>
    </w:p>
    <w:p w:rsidRPr="007330FC" w:rsidR="00E66984" w:rsidP="00E66984" w:rsidRDefault="00E66984" w14:paraId="2AF6C77A" w14:textId="77777777">
      <w:pPr>
        <w:numPr>
          <w:ilvl w:val="0"/>
          <w:numId w:val="0"/>
        </w:numPr>
        <w:tabs>
          <w:tab w:val="left" w:pos="0"/>
          <w:tab w:val="left" w:pos="567"/>
          <w:tab w:val="left" w:pos="1701"/>
          <w:tab w:val="left" w:pos="2834"/>
          <w:tab w:val="left" w:pos="3403"/>
          <w:tab w:val="left" w:pos="4253"/>
          <w:tab w:val="left" w:pos="5103"/>
          <w:tab w:val="left" w:pos="5953"/>
          <w:tab w:val="left" w:pos="6803"/>
          <w:tab w:val="left" w:pos="7653"/>
          <w:tab w:val="left" w:pos="8503"/>
          <w:tab w:val="left" w:pos="9353"/>
        </w:tabs>
        <w:ind w:left="578" w:hanging="578"/>
        <w:rPr>
          <w:rFonts w:cs="Arial"/>
        </w:rPr>
      </w:pPr>
    </w:p>
    <w:p w:rsidRPr="007330FC" w:rsidR="00E66984" w:rsidP="00586838" w:rsidRDefault="00E66984" w14:paraId="584F51CF" w14:textId="519C1073">
      <w:pPr>
        <w:pStyle w:val="Overskrift1"/>
        <w:ind w:left="284" w:hanging="568"/>
      </w:pPr>
      <w:bookmarkStart w:name="_Ref519164692" w:id="6"/>
      <w:bookmarkStart w:name="_Toc44067834" w:id="7"/>
      <w:r w:rsidRPr="007330FC">
        <w:rPr>
          <w:lang w:val="en-GB" w:bidi="en-GB"/>
        </w:rPr>
        <w:t>Operation of the demand facility</w:t>
      </w:r>
      <w:bookmarkEnd w:id="6"/>
      <w:bookmarkEnd w:id="7"/>
      <w:r w:rsidRPr="007330FC">
        <w:rPr>
          <w:lang w:val="en-GB" w:bidi="en-GB"/>
        </w:rPr>
        <w:t xml:space="preserve"> </w:t>
      </w:r>
    </w:p>
    <w:p w:rsidRPr="007330FC" w:rsidR="00E66984" w:rsidP="00053265" w:rsidRDefault="00E66984" w14:paraId="76025EC4" w14:textId="386382ED">
      <w:pPr>
        <w:pStyle w:val="Ingenafstand"/>
        <w:ind w:left="0"/>
        <w:rPr>
          <w:b/>
        </w:rPr>
      </w:pPr>
      <w:r w:rsidRPr="007330FC">
        <w:rPr>
          <w:b/>
          <w:lang w:val="en-GB" w:bidi="en-GB"/>
        </w:rPr>
        <w:t>Rights and obligations of the Facility Owner</w:t>
      </w:r>
    </w:p>
    <w:p w:rsidRPr="007330FC" w:rsidR="007E426B" w:rsidP="00053265" w:rsidRDefault="007E426B" w14:paraId="5CA29CA8" w14:textId="77777777">
      <w:pPr>
        <w:pStyle w:val="Ingenafstand"/>
        <w:ind w:left="0"/>
        <w:rPr>
          <w:b/>
        </w:rPr>
      </w:pPr>
    </w:p>
    <w:p w:rsidRPr="007330FC" w:rsidR="00E66984" w:rsidP="006E44C8" w:rsidRDefault="00E66984" w14:paraId="53FA8CF9" w14:textId="426E5C23">
      <w:r w:rsidRPr="007330FC">
        <w:rPr>
          <w:lang w:val="en-GB" w:bidi="en-GB"/>
        </w:rPr>
        <w:t>The Facility Owner operates and maintains the demand facility and bears all the costs thereof.</w:t>
      </w:r>
    </w:p>
    <w:p w:rsidRPr="007330FC" w:rsidR="00E66984" w:rsidP="00860676" w:rsidRDefault="00E66984" w14:paraId="4DFF0B64" w14:textId="77777777">
      <w:pPr>
        <w:numPr>
          <w:ilvl w:val="0"/>
          <w:numId w:val="0"/>
        </w:numPr>
      </w:pPr>
    </w:p>
    <w:p w:rsidRPr="007330FC" w:rsidR="00E66984" w:rsidP="006E44C8" w:rsidRDefault="00E66984" w14:paraId="4C64DA7D" w14:textId="5CED303D">
      <w:r w:rsidRPr="007330FC">
        <w:rPr>
          <w:lang w:val="en-GB" w:bidi="en-GB"/>
        </w:rPr>
        <w:t xml:space="preserve">The operation of the demand facility must comply with applicable rules and regulations of the TSO as well as the </w:t>
      </w:r>
      <w:r w:rsidR="00B0056C">
        <w:rPr>
          <w:lang w:val="en-GB" w:bidi="en-GB"/>
        </w:rPr>
        <w:t>DSO</w:t>
      </w:r>
      <w:r w:rsidRPr="007330FC">
        <w:rPr>
          <w:lang w:val="en-GB" w:bidi="en-GB"/>
        </w:rPr>
        <w:t>’s guidelines on the operation of demand facilities.</w:t>
      </w:r>
    </w:p>
    <w:p w:rsidRPr="007330FC" w:rsidR="00E66984" w:rsidP="00ED75A5" w:rsidRDefault="00E66984" w14:paraId="34F7146A" w14:textId="77777777">
      <w:pPr>
        <w:numPr>
          <w:ilvl w:val="0"/>
          <w:numId w:val="0"/>
        </w:numPr>
      </w:pPr>
    </w:p>
    <w:p w:rsidRPr="007330FC" w:rsidR="00E66984" w:rsidP="006E44C8" w:rsidRDefault="00E66984" w14:paraId="05D6E47A" w14:textId="4DA74350">
      <w:r w:rsidRPr="007330FC">
        <w:rPr>
          <w:lang w:val="en-GB" w:bidi="en-GB"/>
        </w:rPr>
        <w:t xml:space="preserve">If limits are imposed on the demand facility by agreement with the </w:t>
      </w:r>
      <w:r w:rsidR="00B0056C">
        <w:rPr>
          <w:lang w:val="en-GB" w:bidi="en-GB"/>
        </w:rPr>
        <w:t>DSO</w:t>
      </w:r>
      <w:r w:rsidRPr="007330FC">
        <w:rPr>
          <w:lang w:val="en-GB" w:bidi="en-GB"/>
        </w:rPr>
        <w:t xml:space="preserve">, the demand facility </w:t>
      </w:r>
      <w:r w:rsidRPr="007330FC">
        <w:rPr>
          <w:lang w:val="en-GB" w:bidi="en-GB"/>
        </w:rPr>
        <w:lastRenderedPageBreak/>
        <w:t xml:space="preserve">may not increase power consumption from the </w:t>
      </w:r>
      <w:r w:rsidR="00FF277D">
        <w:rPr>
          <w:lang w:val="en-GB" w:bidi="en-GB"/>
        </w:rPr>
        <w:t>public electricity</w:t>
      </w:r>
      <w:r w:rsidRPr="007330FC">
        <w:rPr>
          <w:lang w:val="en-GB" w:bidi="en-GB"/>
        </w:rPr>
        <w:t xml:space="preserve"> grid until it has been agreed with the </w:t>
      </w:r>
      <w:r w:rsidR="00B0056C">
        <w:rPr>
          <w:lang w:val="en-GB" w:bidi="en-GB"/>
        </w:rPr>
        <w:t>DSO</w:t>
      </w:r>
      <w:r w:rsidRPr="007330FC">
        <w:rPr>
          <w:lang w:val="en-GB" w:bidi="en-GB"/>
        </w:rPr>
        <w:t>.</w:t>
      </w:r>
    </w:p>
    <w:p w:rsidRPr="007330FC" w:rsidR="00E66984" w:rsidP="00ED75A5" w:rsidRDefault="00E66984" w14:paraId="2007D81E" w14:textId="77777777">
      <w:pPr>
        <w:numPr>
          <w:ilvl w:val="0"/>
          <w:numId w:val="0"/>
        </w:numPr>
      </w:pPr>
    </w:p>
    <w:p w:rsidRPr="007330FC" w:rsidR="00E66984" w:rsidP="00011FC3" w:rsidRDefault="00E66984" w14:paraId="67FAA86D" w14:textId="53D0BF61">
      <w:r w:rsidRPr="007330FC">
        <w:rPr>
          <w:lang w:val="en-GB" w:bidi="en-GB"/>
        </w:rPr>
        <w:t xml:space="preserve">If limits are automatically imposed on the demand facility due to faults in the </w:t>
      </w:r>
      <w:r w:rsidR="00FF277D">
        <w:rPr>
          <w:lang w:val="en-GB" w:bidi="en-GB"/>
        </w:rPr>
        <w:t>public electricity</w:t>
      </w:r>
      <w:r w:rsidRPr="007330FC">
        <w:rPr>
          <w:lang w:val="en-GB" w:bidi="en-GB"/>
        </w:rPr>
        <w:t xml:space="preserve"> supply grid, the demand facility may not increase power consumption until the voltage and frequency have remained stable over a period of time as described in the </w:t>
      </w:r>
      <w:r w:rsidR="00B0056C">
        <w:rPr>
          <w:lang w:val="en-GB" w:bidi="en-GB"/>
        </w:rPr>
        <w:t>DSO</w:t>
      </w:r>
      <w:r w:rsidRPr="007330FC">
        <w:rPr>
          <w:lang w:val="en-GB" w:bidi="en-GB"/>
        </w:rPr>
        <w:t xml:space="preserve">’s </w:t>
      </w:r>
      <w:r w:rsidR="00B0056C">
        <w:rPr>
          <w:lang w:val="en-GB" w:bidi="en-GB"/>
        </w:rPr>
        <w:t>technical requirements</w:t>
      </w:r>
      <w:r w:rsidRPr="007330FC">
        <w:rPr>
          <w:lang w:val="en-GB" w:bidi="en-GB"/>
        </w:rPr>
        <w:t>.</w:t>
      </w:r>
    </w:p>
    <w:p w:rsidRPr="007330FC" w:rsidR="00E66984" w:rsidP="00ED75A5" w:rsidRDefault="00E66984" w14:paraId="161C39EA" w14:textId="77777777">
      <w:pPr>
        <w:numPr>
          <w:ilvl w:val="0"/>
          <w:numId w:val="0"/>
        </w:numPr>
      </w:pPr>
    </w:p>
    <w:p w:rsidRPr="007330FC" w:rsidR="00E66984" w:rsidP="006E44C8" w:rsidRDefault="00E66984" w14:paraId="0180279C" w14:textId="0A4AC5A2">
      <w:r w:rsidRPr="007330FC">
        <w:rPr>
          <w:lang w:val="en-GB" w:bidi="en-GB"/>
        </w:rPr>
        <w:t xml:space="preserve">The Facility Owner must provide the </w:t>
      </w:r>
      <w:r w:rsidR="00B0056C">
        <w:rPr>
          <w:lang w:val="en-GB" w:bidi="en-GB"/>
        </w:rPr>
        <w:t>DSO</w:t>
      </w:r>
      <w:r w:rsidRPr="007330FC">
        <w:rPr>
          <w:lang w:val="en-GB" w:bidi="en-GB"/>
        </w:rPr>
        <w:t xml:space="preserve"> with any information which may be necessary for reporting to public authorities, for system operations and for the TSO.</w:t>
      </w:r>
    </w:p>
    <w:p w:rsidRPr="007330FC" w:rsidR="00655710" w:rsidP="00655710" w:rsidRDefault="00655710" w14:paraId="1EEE6BF6" w14:textId="3BB06FFE">
      <w:pPr>
        <w:pStyle w:val="Ingenafstand"/>
      </w:pPr>
    </w:p>
    <w:p w:rsidR="00522B5D" w:rsidP="00B53FD3" w:rsidRDefault="00655710" w14:paraId="5F4473D6" w14:textId="718C7FB6">
      <w:r w:rsidRPr="007330FC">
        <w:rPr>
          <w:lang w:val="en-GB" w:bidi="en-GB"/>
        </w:rPr>
        <w:t xml:space="preserve">If the characteristics of the facility change substantially, the Facility Owner must immediately inform the </w:t>
      </w:r>
      <w:r w:rsidR="00B0056C">
        <w:rPr>
          <w:lang w:val="en-GB" w:bidi="en-GB"/>
        </w:rPr>
        <w:t>DSO</w:t>
      </w:r>
      <w:r w:rsidRPr="007330FC">
        <w:rPr>
          <w:lang w:val="en-GB" w:bidi="en-GB"/>
        </w:rPr>
        <w:t xml:space="preserve"> of the changes. </w:t>
      </w:r>
    </w:p>
    <w:p w:rsidRPr="00B53FD3" w:rsidR="00B53FD3" w:rsidP="00B53FD3" w:rsidRDefault="00B53FD3" w14:paraId="58E5A058" w14:textId="77777777">
      <w:pPr>
        <w:pStyle w:val="Ingenafstand"/>
      </w:pPr>
    </w:p>
    <w:p w:rsidRPr="007330FC" w:rsidR="006E44C8" w:rsidP="00B13EE2" w:rsidRDefault="006E44C8" w14:paraId="7BA79A9C" w14:textId="77777777">
      <w:pPr>
        <w:pStyle w:val="Ingenafstand"/>
        <w:ind w:left="0"/>
        <w:rPr>
          <w:b/>
        </w:rPr>
      </w:pPr>
    </w:p>
    <w:p w:rsidRPr="007330FC" w:rsidR="00E66984" w:rsidP="00713B7A" w:rsidRDefault="005B6D8B" w14:paraId="3461940F" w14:textId="360C5B3C">
      <w:pPr>
        <w:pStyle w:val="Ingenafstand"/>
        <w:ind w:left="0"/>
        <w:rPr>
          <w:b/>
        </w:rPr>
      </w:pPr>
      <w:r w:rsidRPr="007330FC">
        <w:rPr>
          <w:b/>
          <w:lang w:val="en-GB" w:bidi="en-GB"/>
        </w:rPr>
        <w:t xml:space="preserve">Rights and obligations of the </w:t>
      </w:r>
      <w:r w:rsidR="00B0056C">
        <w:rPr>
          <w:b/>
          <w:lang w:val="en-GB" w:bidi="en-GB"/>
        </w:rPr>
        <w:t>DSO</w:t>
      </w:r>
    </w:p>
    <w:p w:rsidRPr="007330FC" w:rsidR="007E426B" w:rsidP="00713B7A" w:rsidRDefault="007E426B" w14:paraId="4B0E176C" w14:textId="77777777">
      <w:pPr>
        <w:pStyle w:val="Ingenafstand"/>
        <w:ind w:left="0"/>
        <w:rPr>
          <w:b/>
        </w:rPr>
      </w:pPr>
    </w:p>
    <w:p w:rsidRPr="00220E15" w:rsidR="00040C3D" w:rsidP="00040C3D" w:rsidRDefault="00040C3D" w14:paraId="7413D34B" w14:textId="1449FECA">
      <w:r w:rsidRPr="00220E15">
        <w:rPr>
          <w:lang w:val="en-GB" w:bidi="en-GB"/>
        </w:rPr>
        <w:t xml:space="preserve">If the </w:t>
      </w:r>
      <w:r w:rsidR="00B0056C">
        <w:rPr>
          <w:lang w:val="en-GB" w:bidi="en-GB"/>
        </w:rPr>
        <w:t>DSO</w:t>
      </w:r>
      <w:r w:rsidRPr="00220E15">
        <w:rPr>
          <w:lang w:val="en-GB" w:bidi="en-GB"/>
        </w:rPr>
        <w:t xml:space="preserve"> finds that there is insufficient capacity in the </w:t>
      </w:r>
      <w:r w:rsidR="00A579BD">
        <w:rPr>
          <w:lang w:val="en-GB" w:bidi="en-GB"/>
        </w:rPr>
        <w:t xml:space="preserve">public </w:t>
      </w:r>
      <w:r w:rsidRPr="00220E15">
        <w:rPr>
          <w:lang w:val="en-GB" w:bidi="en-GB"/>
        </w:rPr>
        <w:t>electricity</w:t>
      </w:r>
      <w:r w:rsidR="00A579BD">
        <w:rPr>
          <w:lang w:val="en-GB" w:bidi="en-GB"/>
        </w:rPr>
        <w:t xml:space="preserve"> supply</w:t>
      </w:r>
      <w:r w:rsidRPr="00220E15">
        <w:rPr>
          <w:lang w:val="en-GB" w:bidi="en-GB"/>
        </w:rPr>
        <w:t xml:space="preserve"> grid, the </w:t>
      </w:r>
      <w:r w:rsidR="00B0056C">
        <w:rPr>
          <w:lang w:val="en-GB" w:bidi="en-GB"/>
        </w:rPr>
        <w:t>DSO</w:t>
      </w:r>
      <w:r w:rsidRPr="00220E15">
        <w:rPr>
          <w:lang w:val="en-GB" w:bidi="en-GB"/>
        </w:rPr>
        <w:t xml:space="preserve"> may demand that the part of the facility which is connected with limited grid access (see </w:t>
      </w:r>
      <w:r w:rsidRPr="00220E15">
        <w:rPr>
          <w:b/>
          <w:lang w:val="en-GB" w:bidi="en-GB"/>
        </w:rPr>
        <w:t>Appendix 1</w:t>
      </w:r>
      <w:r w:rsidRPr="00220E15">
        <w:rPr>
          <w:lang w:val="en-GB" w:bidi="en-GB"/>
        </w:rPr>
        <w:t xml:space="preserve">) limits consumption from the </w:t>
      </w:r>
      <w:r w:rsidR="00FF277D">
        <w:rPr>
          <w:lang w:val="en-GB" w:bidi="en-GB"/>
        </w:rPr>
        <w:t>public electricity</w:t>
      </w:r>
      <w:r w:rsidRPr="00220E15">
        <w:rPr>
          <w:lang w:val="en-GB" w:bidi="en-GB"/>
        </w:rPr>
        <w:t xml:space="preserve"> supply grid. The limitation can be either temporary or permanent and may be implemented for whatever reason if the </w:t>
      </w:r>
      <w:r w:rsidR="00B0056C">
        <w:rPr>
          <w:lang w:val="en-GB" w:bidi="en-GB"/>
        </w:rPr>
        <w:t>DSO</w:t>
      </w:r>
      <w:r w:rsidRPr="00220E15">
        <w:rPr>
          <w:lang w:val="en-GB" w:bidi="en-GB"/>
        </w:rPr>
        <w:t xml:space="preserve"> deems it necessary for operational reasons. The limitation may, for example, be caused by unforeseen events, operational improvements, a need for spare capacity for other customers or </w:t>
      </w:r>
      <w:r w:rsidR="004B0204">
        <w:rPr>
          <w:lang w:val="en-GB" w:bidi="en-GB"/>
        </w:rPr>
        <w:t>maintenance</w:t>
      </w:r>
      <w:r w:rsidRPr="00220E15">
        <w:rPr>
          <w:lang w:val="en-GB" w:bidi="en-GB"/>
        </w:rPr>
        <w:t xml:space="preserve"> of the </w:t>
      </w:r>
      <w:r w:rsidR="00FF277D">
        <w:rPr>
          <w:lang w:val="en-GB" w:bidi="en-GB"/>
        </w:rPr>
        <w:t>public electricity</w:t>
      </w:r>
      <w:r w:rsidRPr="00220E15">
        <w:rPr>
          <w:lang w:val="en-GB" w:bidi="en-GB"/>
        </w:rPr>
        <w:t xml:space="preserve"> grid.</w:t>
      </w:r>
    </w:p>
    <w:p w:rsidRPr="00220E15" w:rsidR="00040C3D" w:rsidP="00040C3D" w:rsidRDefault="00040C3D" w14:paraId="379DE247" w14:textId="77777777">
      <w:pPr>
        <w:numPr>
          <w:ilvl w:val="0"/>
          <w:numId w:val="0"/>
        </w:numPr>
      </w:pPr>
    </w:p>
    <w:p w:rsidRPr="00220E15" w:rsidR="00040C3D" w:rsidP="00040C3D" w:rsidRDefault="00040C3D" w14:paraId="3EFE855A" w14:textId="570F1C00">
      <w:r w:rsidRPr="00220E15">
        <w:rPr>
          <w:lang w:val="en-GB" w:bidi="en-GB"/>
        </w:rPr>
        <w:t xml:space="preserve">If multiple customers are connected with limited grid access within the same geographical area and the </w:t>
      </w:r>
      <w:r w:rsidR="00B0056C">
        <w:rPr>
          <w:lang w:val="en-GB" w:bidi="en-GB"/>
        </w:rPr>
        <w:t>DSO</w:t>
      </w:r>
      <w:r w:rsidRPr="00220E15">
        <w:rPr>
          <w:lang w:val="en-GB" w:bidi="en-GB"/>
        </w:rPr>
        <w:t xml:space="preserve"> is able to technically resolve a situation by limiting several different customers, the affected customers will be limited proportionately, i.e. by the same percentage in relation to the power of the facility which is connected with limited grid access. </w:t>
      </w:r>
    </w:p>
    <w:p w:rsidRPr="00220E15" w:rsidR="00040C3D" w:rsidP="00040C3D" w:rsidRDefault="00040C3D" w14:paraId="454E9314" w14:textId="77777777">
      <w:pPr>
        <w:pStyle w:val="Ingenafstand"/>
        <w:ind w:left="0"/>
      </w:pPr>
    </w:p>
    <w:p w:rsidRPr="00220E15" w:rsidR="00040C3D" w:rsidP="00040C3D" w:rsidRDefault="00267E91" w14:paraId="726D47BF" w14:textId="2E3A5D63">
      <w:r>
        <w:rPr>
          <w:lang w:val="en-GB" w:bidi="en-GB"/>
        </w:rPr>
        <w:t xml:space="preserve">No prior notice of any limitations of the facility caused by </w:t>
      </w:r>
      <w:r w:rsidR="004B0204">
        <w:rPr>
          <w:lang w:val="en-GB" w:bidi="en-GB"/>
        </w:rPr>
        <w:t xml:space="preserve">faults </w:t>
      </w:r>
      <w:r>
        <w:rPr>
          <w:lang w:val="en-GB" w:bidi="en-GB"/>
        </w:rPr>
        <w:t xml:space="preserve">or other </w:t>
      </w:r>
      <w:r w:rsidR="00A35C4D">
        <w:rPr>
          <w:lang w:val="en-GB" w:bidi="en-GB"/>
        </w:rPr>
        <w:t xml:space="preserve">emergency </w:t>
      </w:r>
      <w:r w:rsidR="004B0204">
        <w:rPr>
          <w:lang w:val="en-GB" w:bidi="en-GB"/>
        </w:rPr>
        <w:t xml:space="preserve">maintenance </w:t>
      </w:r>
      <w:r>
        <w:rPr>
          <w:lang w:val="en-GB" w:bidi="en-GB"/>
        </w:rPr>
        <w:t xml:space="preserve">or rerouting of the grid will be given by the </w:t>
      </w:r>
      <w:r w:rsidR="00B0056C">
        <w:rPr>
          <w:lang w:val="en-GB" w:bidi="en-GB"/>
        </w:rPr>
        <w:t>DSO</w:t>
      </w:r>
      <w:r>
        <w:rPr>
          <w:lang w:val="en-GB" w:bidi="en-GB"/>
        </w:rPr>
        <w:t xml:space="preserve">. Major changes such as the connection of new large consumers, increase in power consumption by existing consumers or planned </w:t>
      </w:r>
      <w:r w:rsidR="00A35C4D">
        <w:rPr>
          <w:lang w:val="en-GB" w:bidi="en-GB"/>
        </w:rPr>
        <w:t xml:space="preserve">maintenance </w:t>
      </w:r>
      <w:r>
        <w:rPr>
          <w:lang w:val="en-GB" w:bidi="en-GB"/>
        </w:rPr>
        <w:t>of the</w:t>
      </w:r>
      <w:r w:rsidR="00A579BD">
        <w:rPr>
          <w:lang w:val="en-GB" w:bidi="en-GB"/>
        </w:rPr>
        <w:t xml:space="preserve"> public</w:t>
      </w:r>
      <w:r>
        <w:rPr>
          <w:lang w:val="en-GB" w:bidi="en-GB"/>
        </w:rPr>
        <w:t xml:space="preserve"> electricity </w:t>
      </w:r>
      <w:r w:rsidR="00A579BD">
        <w:rPr>
          <w:lang w:val="en-GB" w:bidi="en-GB"/>
        </w:rPr>
        <w:t xml:space="preserve">supply </w:t>
      </w:r>
      <w:r>
        <w:rPr>
          <w:lang w:val="en-GB" w:bidi="en-GB"/>
        </w:rPr>
        <w:t xml:space="preserve">grid leading to changes in the limited grid access are subject to one month’s prior notice by the </w:t>
      </w:r>
      <w:r w:rsidR="00B0056C">
        <w:rPr>
          <w:lang w:val="en-GB" w:bidi="en-GB"/>
        </w:rPr>
        <w:t>DSO</w:t>
      </w:r>
      <w:r>
        <w:rPr>
          <w:lang w:val="en-GB" w:bidi="en-GB"/>
        </w:rPr>
        <w:t xml:space="preserve">.  </w:t>
      </w:r>
    </w:p>
    <w:p w:rsidR="00040C3D" w:rsidP="00040C3D" w:rsidRDefault="00040C3D" w14:paraId="6566504A" w14:textId="77777777">
      <w:pPr>
        <w:numPr>
          <w:ilvl w:val="0"/>
          <w:numId w:val="0"/>
        </w:numPr>
        <w:ind w:left="1002"/>
      </w:pPr>
    </w:p>
    <w:p w:rsidRPr="00251AC0" w:rsidR="00040C3D" w:rsidP="00040C3D" w:rsidRDefault="00267E91" w14:paraId="212301EC" w14:textId="174F70E9">
      <w:r>
        <w:rPr>
          <w:lang w:val="en-GB" w:bidi="en-GB"/>
        </w:rPr>
        <w:t xml:space="preserve">It must be possible to monitor and implement the limitation </w:t>
      </w:r>
      <w:r w:rsidR="00A35C4D">
        <w:rPr>
          <w:lang w:val="en-GB" w:bidi="en-GB"/>
        </w:rPr>
        <w:t xml:space="preserve">of grid access </w:t>
      </w:r>
      <w:r>
        <w:rPr>
          <w:lang w:val="en-GB" w:bidi="en-GB"/>
        </w:rPr>
        <w:t xml:space="preserve">from the </w:t>
      </w:r>
      <w:r w:rsidR="00B0056C">
        <w:rPr>
          <w:lang w:val="en-GB" w:bidi="en-GB"/>
        </w:rPr>
        <w:t>DSO</w:t>
      </w:r>
      <w:r>
        <w:rPr>
          <w:lang w:val="en-GB" w:bidi="en-GB"/>
        </w:rPr>
        <w:t xml:space="preserve">’s control room. For the part of the facility’s power which </w:t>
      </w:r>
      <w:proofErr w:type="gramStart"/>
      <w:r>
        <w:rPr>
          <w:lang w:val="en-GB" w:bidi="en-GB"/>
        </w:rPr>
        <w:t>is connected with</w:t>
      </w:r>
      <w:proofErr w:type="gramEnd"/>
      <w:r>
        <w:rPr>
          <w:lang w:val="en-GB" w:bidi="en-GB"/>
        </w:rPr>
        <w:t xml:space="preserve"> normal grid access, access to the grid is regulated by the </w:t>
      </w:r>
      <w:r w:rsidR="00B0056C">
        <w:rPr>
          <w:lang w:val="en-GB" w:bidi="en-GB"/>
        </w:rPr>
        <w:t>DSO</w:t>
      </w:r>
      <w:r>
        <w:rPr>
          <w:lang w:val="en-GB" w:bidi="en-GB"/>
        </w:rPr>
        <w:t>’s connection provisions.</w:t>
      </w:r>
    </w:p>
    <w:p w:rsidRPr="0052462A" w:rsidR="00040C3D" w:rsidP="00040C3D" w:rsidRDefault="00040C3D" w14:paraId="570D88CF" w14:textId="77777777">
      <w:pPr>
        <w:numPr>
          <w:ilvl w:val="0"/>
          <w:numId w:val="0"/>
        </w:numPr>
      </w:pPr>
    </w:p>
    <w:p w:rsidR="00040C3D" w:rsidP="00040C3D" w:rsidRDefault="00040C3D" w14:paraId="3D465161" w14:textId="5DAB5324">
      <w:r>
        <w:rPr>
          <w:lang w:val="en-GB" w:bidi="en-GB"/>
        </w:rPr>
        <w:t xml:space="preserve">The </w:t>
      </w:r>
      <w:r w:rsidR="00A35C4D">
        <w:rPr>
          <w:lang w:val="en-GB" w:bidi="en-GB"/>
        </w:rPr>
        <w:t xml:space="preserve">part of the </w:t>
      </w:r>
      <w:r>
        <w:rPr>
          <w:lang w:val="en-GB" w:bidi="en-GB"/>
        </w:rPr>
        <w:t xml:space="preserve">facility’s </w:t>
      </w:r>
      <w:r w:rsidR="00A35C4D">
        <w:rPr>
          <w:lang w:val="en-GB" w:bidi="en-GB"/>
        </w:rPr>
        <w:t>power</w:t>
      </w:r>
      <w:r>
        <w:rPr>
          <w:lang w:val="en-GB" w:bidi="en-GB"/>
        </w:rPr>
        <w:t xml:space="preserve"> which </w:t>
      </w:r>
      <w:proofErr w:type="gramStart"/>
      <w:r>
        <w:rPr>
          <w:lang w:val="en-GB" w:bidi="en-GB"/>
        </w:rPr>
        <w:t>is connected with</w:t>
      </w:r>
      <w:proofErr w:type="gramEnd"/>
      <w:r>
        <w:rPr>
          <w:lang w:val="en-GB" w:bidi="en-GB"/>
        </w:rPr>
        <w:t xml:space="preserve"> limited grid access must be reconnected without undue delay when there is spare capacity in the grid.</w:t>
      </w:r>
    </w:p>
    <w:p w:rsidRPr="00251AC0" w:rsidR="00040C3D" w:rsidP="00040C3D" w:rsidRDefault="00040C3D" w14:paraId="4DACCA75" w14:textId="77777777">
      <w:pPr>
        <w:pStyle w:val="Ingenafstand"/>
      </w:pPr>
    </w:p>
    <w:p w:rsidR="00040C3D" w:rsidP="00040C3D" w:rsidRDefault="00040C3D" w14:paraId="78DFCAA2" w14:textId="3413F7CB">
      <w:r w:rsidRPr="00220E15">
        <w:rPr>
          <w:lang w:val="en-GB" w:bidi="en-GB"/>
        </w:rPr>
        <w:t xml:space="preserve">The owner of the facility bears the full financial responsibility for limitations to grid access, </w:t>
      </w:r>
      <w:r w:rsidRPr="00220E15">
        <w:rPr>
          <w:lang w:val="en-GB" w:bidi="en-GB"/>
        </w:rPr>
        <w:lastRenderedPageBreak/>
        <w:t xml:space="preserve">regardless of the reason for the limitation. The </w:t>
      </w:r>
      <w:r w:rsidR="00B0056C">
        <w:rPr>
          <w:lang w:val="en-GB" w:bidi="en-GB"/>
        </w:rPr>
        <w:t>DSO</w:t>
      </w:r>
      <w:r w:rsidRPr="00220E15">
        <w:rPr>
          <w:lang w:val="en-GB" w:bidi="en-GB"/>
        </w:rPr>
        <w:t xml:space="preserve"> is not liable for operating losses or other direct or indirect losses incurred by the Facility Owner </w:t>
      </w:r>
      <w:proofErr w:type="gramStart"/>
      <w:r w:rsidRPr="00220E15">
        <w:rPr>
          <w:lang w:val="en-GB" w:bidi="en-GB"/>
        </w:rPr>
        <w:t>as a result of</w:t>
      </w:r>
      <w:proofErr w:type="gramEnd"/>
      <w:r w:rsidRPr="00220E15">
        <w:rPr>
          <w:lang w:val="en-GB" w:bidi="en-GB"/>
        </w:rPr>
        <w:t xml:space="preserve"> the facility’s lack of access to the </w:t>
      </w:r>
      <w:r w:rsidR="00FF277D">
        <w:rPr>
          <w:lang w:val="en-GB" w:bidi="en-GB"/>
        </w:rPr>
        <w:t>public electricity</w:t>
      </w:r>
      <w:r w:rsidRPr="00220E15">
        <w:rPr>
          <w:lang w:val="en-GB" w:bidi="en-GB"/>
        </w:rPr>
        <w:t xml:space="preserve"> grid.</w:t>
      </w:r>
    </w:p>
    <w:p w:rsidRPr="00251AC0" w:rsidR="00040C3D" w:rsidP="00040C3D" w:rsidRDefault="00040C3D" w14:paraId="3C6DAAC7" w14:textId="77777777">
      <w:pPr>
        <w:pStyle w:val="Ingenafstand"/>
      </w:pPr>
    </w:p>
    <w:p w:rsidR="00040C3D" w:rsidP="00040C3D" w:rsidRDefault="00040C3D" w14:paraId="563D6CEF" w14:textId="11B648AC">
      <w:r>
        <w:rPr>
          <w:lang w:val="en-GB" w:bidi="en-GB"/>
        </w:rPr>
        <w:t xml:space="preserve">The </w:t>
      </w:r>
      <w:r w:rsidR="00A35C4D">
        <w:rPr>
          <w:lang w:val="en-GB" w:bidi="en-GB"/>
        </w:rPr>
        <w:t xml:space="preserve">start-up </w:t>
      </w:r>
      <w:r>
        <w:rPr>
          <w:lang w:val="en-GB" w:bidi="en-GB"/>
        </w:rPr>
        <w:t xml:space="preserve">and operation of the demand facility </w:t>
      </w:r>
      <w:r w:rsidR="00A35C4D">
        <w:rPr>
          <w:lang w:val="en-GB" w:bidi="en-GB"/>
        </w:rPr>
        <w:t xml:space="preserve">must </w:t>
      </w:r>
      <w:r>
        <w:rPr>
          <w:lang w:val="en-GB" w:bidi="en-GB"/>
        </w:rPr>
        <w:t xml:space="preserve">not cause unacceptable </w:t>
      </w:r>
      <w:r w:rsidR="00A35C4D">
        <w:rPr>
          <w:lang w:val="en-GB" w:bidi="en-GB"/>
        </w:rPr>
        <w:t xml:space="preserve">disturbances </w:t>
      </w:r>
      <w:r>
        <w:rPr>
          <w:lang w:val="en-GB" w:bidi="en-GB"/>
        </w:rPr>
        <w:t xml:space="preserve">to other customers in accordance with the </w:t>
      </w:r>
      <w:r w:rsidR="00B0056C">
        <w:rPr>
          <w:lang w:val="en-GB" w:bidi="en-GB"/>
        </w:rPr>
        <w:t>DSO</w:t>
      </w:r>
      <w:r>
        <w:rPr>
          <w:lang w:val="en-GB" w:bidi="en-GB"/>
        </w:rPr>
        <w:t>’s connection provisions.</w:t>
      </w:r>
      <w:bookmarkStart w:name="_Hlk507589499" w:id="8"/>
    </w:p>
    <w:p w:rsidR="00040C3D" w:rsidP="00040C3D" w:rsidRDefault="00040C3D" w14:paraId="0D88E219" w14:textId="77777777">
      <w:pPr>
        <w:numPr>
          <w:ilvl w:val="0"/>
          <w:numId w:val="0"/>
        </w:numPr>
        <w:ind w:left="1002"/>
      </w:pPr>
    </w:p>
    <w:bookmarkEnd w:id="8"/>
    <w:p w:rsidRPr="007330FC" w:rsidR="00905996" w:rsidP="0055692B" w:rsidRDefault="00905996" w14:paraId="66D6DEAE" w14:textId="77777777">
      <w:pPr>
        <w:pStyle w:val="Ingenafstand"/>
      </w:pPr>
    </w:p>
    <w:p w:rsidRPr="007330FC" w:rsidR="00E66984" w:rsidP="00586838" w:rsidRDefault="00060FE4" w14:paraId="449217D3" w14:textId="37159E16">
      <w:pPr>
        <w:pStyle w:val="Overskrift1"/>
        <w:ind w:left="284" w:hanging="568"/>
      </w:pPr>
      <w:bookmarkStart w:name="_Toc44067835" w:id="9"/>
      <w:r w:rsidRPr="007330FC">
        <w:rPr>
          <w:lang w:val="en-GB" w:bidi="en-GB"/>
        </w:rPr>
        <w:t>Electricity meter etc.</w:t>
      </w:r>
      <w:bookmarkEnd w:id="9"/>
    </w:p>
    <w:p w:rsidRPr="007330FC" w:rsidR="00E66984" w:rsidP="006E44C8" w:rsidRDefault="00E66984" w14:paraId="33A8D61D" w14:textId="2C34AE2B">
      <w:r w:rsidRPr="007330FC">
        <w:rPr>
          <w:lang w:val="en-GB" w:bidi="en-GB"/>
        </w:rPr>
        <w:t>The electricity consumption of the demand facility must be measured in accordance with applicable rules and regulations for measurements for settlement and system operation purposes.</w:t>
      </w:r>
    </w:p>
    <w:p w:rsidRPr="007330FC" w:rsidR="00E66984" w:rsidP="00ED75A5" w:rsidRDefault="00E66984" w14:paraId="6F2AF5EB" w14:textId="77777777">
      <w:pPr>
        <w:numPr>
          <w:ilvl w:val="0"/>
          <w:numId w:val="0"/>
        </w:numPr>
      </w:pPr>
    </w:p>
    <w:p w:rsidRPr="007330FC" w:rsidR="00E66984" w:rsidP="006E44C8" w:rsidRDefault="00E66984" w14:paraId="5E291AFA" w14:textId="608DC15E">
      <w:r w:rsidRPr="007330FC">
        <w:rPr>
          <w:lang w:val="en-GB" w:bidi="en-GB"/>
        </w:rPr>
        <w:t xml:space="preserve">Settlement meters are purchased and installed by the </w:t>
      </w:r>
      <w:r w:rsidR="00B0056C">
        <w:rPr>
          <w:lang w:val="en-GB" w:bidi="en-GB"/>
        </w:rPr>
        <w:t>DSO</w:t>
      </w:r>
      <w:r w:rsidRPr="007330FC">
        <w:rPr>
          <w:lang w:val="en-GB" w:bidi="en-GB"/>
        </w:rPr>
        <w:t xml:space="preserve">. The measurement principle for settlement and system operation is described in the TSO’s set of rules and the </w:t>
      </w:r>
      <w:r w:rsidR="00B0056C">
        <w:rPr>
          <w:lang w:val="en-GB" w:bidi="en-GB"/>
        </w:rPr>
        <w:t>DSO</w:t>
      </w:r>
      <w:r w:rsidRPr="007330FC">
        <w:rPr>
          <w:lang w:val="en-GB" w:bidi="en-GB"/>
        </w:rPr>
        <w:t xml:space="preserve">’s guidelines. The cost of purchasing and installing settlement meters and instrument transformers are distributed according to applicable legislation and officially approved methods. </w:t>
      </w:r>
    </w:p>
    <w:p w:rsidRPr="007330FC" w:rsidR="00E66984" w:rsidP="00ED75A5" w:rsidRDefault="00E66984" w14:paraId="69FCC428" w14:textId="77777777">
      <w:pPr>
        <w:numPr>
          <w:ilvl w:val="0"/>
          <w:numId w:val="0"/>
        </w:numPr>
      </w:pPr>
    </w:p>
    <w:p w:rsidRPr="007330FC" w:rsidR="00E66984" w:rsidP="006E44C8" w:rsidRDefault="00487036" w14:paraId="20FE1C7B" w14:textId="6C51443F">
      <w:r w:rsidRPr="007330FC">
        <w:rPr>
          <w:lang w:val="en-GB" w:bidi="en-GB"/>
        </w:rPr>
        <w:t xml:space="preserve">The </w:t>
      </w:r>
      <w:r w:rsidR="00B0056C">
        <w:rPr>
          <w:lang w:val="en-GB" w:bidi="en-GB"/>
        </w:rPr>
        <w:t>DSO</w:t>
      </w:r>
      <w:r w:rsidRPr="007330FC">
        <w:rPr>
          <w:lang w:val="en-GB" w:bidi="en-GB"/>
        </w:rPr>
        <w:t xml:space="preserve"> owns and maintains the settlement meters. Documented operating and maintenance costs are invoiced to the Facility Owner in accordance with applicable legislation and officially approved methods.</w:t>
      </w:r>
    </w:p>
    <w:p w:rsidRPr="007330FC" w:rsidR="00E66984" w:rsidP="00ED75A5" w:rsidRDefault="00E66984" w14:paraId="4F976E61" w14:textId="77777777">
      <w:pPr>
        <w:numPr>
          <w:ilvl w:val="0"/>
          <w:numId w:val="0"/>
        </w:numPr>
      </w:pPr>
    </w:p>
    <w:p w:rsidRPr="007330FC" w:rsidR="00E66984" w:rsidP="006E44C8" w:rsidRDefault="00E66984" w14:paraId="7F7254F4" w14:textId="17D6F2A3">
      <w:r w:rsidRPr="007330FC">
        <w:rPr>
          <w:lang w:val="en-GB" w:bidi="en-GB"/>
        </w:rPr>
        <w:t xml:space="preserve">The Facility Owner owns and maintains the meter installation as well as associated wiring connections and instrument transformers for the settlement metering. </w:t>
      </w:r>
    </w:p>
    <w:p w:rsidRPr="007330FC" w:rsidR="00E66984" w:rsidP="00ED75A5" w:rsidRDefault="00E66984" w14:paraId="60320D0C" w14:textId="77777777">
      <w:pPr>
        <w:numPr>
          <w:ilvl w:val="0"/>
          <w:numId w:val="0"/>
        </w:numPr>
      </w:pPr>
    </w:p>
    <w:p w:rsidRPr="007330FC" w:rsidR="00E66984" w:rsidP="006E44C8" w:rsidRDefault="00E66984" w14:paraId="7B2B81AA" w14:textId="638749A6">
      <w:r w:rsidRPr="007330FC">
        <w:rPr>
          <w:lang w:val="en-GB" w:bidi="en-GB"/>
        </w:rPr>
        <w:t xml:space="preserve">Settlement meter metering points must be indicated on the single-line representation in </w:t>
      </w:r>
      <w:r w:rsidRPr="007330FC">
        <w:rPr>
          <w:b/>
          <w:lang w:val="en-GB" w:bidi="en-GB"/>
        </w:rPr>
        <w:t>Appendix 3</w:t>
      </w:r>
      <w:r w:rsidRPr="007330FC">
        <w:rPr>
          <w:lang w:val="en-GB" w:bidi="en-GB"/>
        </w:rPr>
        <w:t>.</w:t>
      </w:r>
    </w:p>
    <w:p w:rsidRPr="007330FC" w:rsidR="00E66984" w:rsidP="00626261" w:rsidRDefault="00E66984" w14:paraId="782BE5B0" w14:textId="77777777">
      <w:pPr>
        <w:numPr>
          <w:ilvl w:val="0"/>
          <w:numId w:val="0"/>
        </w:numPr>
      </w:pPr>
    </w:p>
    <w:p w:rsidRPr="007330FC" w:rsidR="00E66984" w:rsidP="00372CDD" w:rsidRDefault="00E66984" w14:paraId="6D840B45" w14:textId="0C450906">
      <w:r w:rsidRPr="007330FC">
        <w:rPr>
          <w:lang w:val="en-GB" w:bidi="en-GB"/>
        </w:rPr>
        <w:t>Metering equipment for operati</w:t>
      </w:r>
      <w:r w:rsidR="00617AB6">
        <w:rPr>
          <w:lang w:val="en-GB" w:bidi="en-GB"/>
        </w:rPr>
        <w:t>ons</w:t>
      </w:r>
      <w:r w:rsidRPr="007330FC">
        <w:rPr>
          <w:lang w:val="en-GB" w:bidi="en-GB"/>
        </w:rPr>
        <w:t xml:space="preserve"> measurements (online measurements) must be established in accordance with the rules in force at any time and to the </w:t>
      </w:r>
      <w:r w:rsidR="00B0056C">
        <w:rPr>
          <w:lang w:val="en-GB" w:bidi="en-GB"/>
        </w:rPr>
        <w:t>DSO</w:t>
      </w:r>
      <w:r w:rsidRPr="007330FC">
        <w:rPr>
          <w:lang w:val="en-GB" w:bidi="en-GB"/>
        </w:rPr>
        <w:t>’s standard. The scope of metered operating data must be agreed between the parties. The Facility Owner installs the transducers and makes measurement values available in the point of communication. The Facility Owner establishes auxiliary voltage and provides suitable space for the equipment.</w:t>
      </w:r>
    </w:p>
    <w:p w:rsidRPr="007330FC" w:rsidR="0086342E" w:rsidP="0086342E" w:rsidRDefault="0086342E" w14:paraId="23D4701A" w14:textId="27DD5B48">
      <w:pPr>
        <w:pStyle w:val="Ingenafstand"/>
      </w:pPr>
    </w:p>
    <w:p w:rsidRPr="007330FC" w:rsidR="0086342E" w:rsidP="0086342E" w:rsidRDefault="001A485D" w14:paraId="720397B8" w14:textId="4F77D3A4">
      <w:pPr>
        <w:pStyle w:val="Overskrift1"/>
      </w:pPr>
      <w:r w:rsidRPr="007330FC">
        <w:rPr>
          <w:lang w:val="en-GB" w:bidi="en-GB"/>
        </w:rPr>
        <w:t xml:space="preserve"> </w:t>
      </w:r>
      <w:bookmarkStart w:name="_Toc44067836" w:id="10"/>
      <w:r w:rsidRPr="007330FC">
        <w:rPr>
          <w:lang w:val="en-GB" w:bidi="en-GB"/>
        </w:rPr>
        <w:t xml:space="preserve">Monitoring compliance with </w:t>
      </w:r>
      <w:bookmarkEnd w:id="10"/>
      <w:r w:rsidR="00B0056C">
        <w:rPr>
          <w:lang w:val="en-GB" w:bidi="en-GB"/>
        </w:rPr>
        <w:t>technical requirements</w:t>
      </w:r>
    </w:p>
    <w:p w:rsidRPr="007330FC" w:rsidR="00DC6CF4" w:rsidP="00C87E58" w:rsidRDefault="00C87E58" w14:paraId="762E211E" w14:textId="3FC0A242">
      <w:pPr>
        <w:pStyle w:val="Ingenafstand"/>
        <w:ind w:left="0"/>
        <w:rPr>
          <w:b/>
        </w:rPr>
      </w:pPr>
      <w:r w:rsidRPr="007330FC">
        <w:rPr>
          <w:b/>
          <w:lang w:val="en-GB" w:bidi="en-GB"/>
        </w:rPr>
        <w:t>Rights and obligations of the Facility Owner</w:t>
      </w:r>
    </w:p>
    <w:p w:rsidRPr="007330FC" w:rsidR="00C87E58" w:rsidP="00C87E58" w:rsidRDefault="00C87E58" w14:paraId="132C2E16" w14:textId="77777777">
      <w:pPr>
        <w:pStyle w:val="Ingenafstand"/>
        <w:ind w:left="0"/>
      </w:pPr>
    </w:p>
    <w:p w:rsidRPr="007330FC" w:rsidR="00C87E58" w:rsidP="00C87E58" w:rsidRDefault="00C87E58" w14:paraId="024B8BCE" w14:textId="0DE54E7D">
      <w:r w:rsidRPr="007330FC">
        <w:rPr>
          <w:lang w:val="en-GB" w:bidi="en-GB"/>
        </w:rPr>
        <w:t xml:space="preserve">The Facility Owner is obliged to ensure that the facility meets the technical requirements throughout the facility’s lifetime. </w:t>
      </w:r>
    </w:p>
    <w:p w:rsidRPr="007330FC" w:rsidR="00C87E58" w:rsidP="00C87E58" w:rsidRDefault="00C87E58" w14:paraId="4B0D4641" w14:textId="574D065A">
      <w:pPr>
        <w:pStyle w:val="Ingenafstand"/>
      </w:pPr>
    </w:p>
    <w:p w:rsidRPr="007330FC" w:rsidR="00C87E58" w:rsidP="00C87E58" w:rsidRDefault="00C87E58" w14:paraId="40F98343" w14:textId="33CDEFF3">
      <w:r w:rsidRPr="007330FC">
        <w:rPr>
          <w:lang w:val="en-GB" w:bidi="en-GB"/>
        </w:rPr>
        <w:lastRenderedPageBreak/>
        <w:t xml:space="preserve">The Facility Owner is obliged to inform the </w:t>
      </w:r>
      <w:r w:rsidR="00B0056C">
        <w:rPr>
          <w:lang w:val="en-GB" w:bidi="en-GB"/>
        </w:rPr>
        <w:t>DSO</w:t>
      </w:r>
      <w:r w:rsidRPr="007330FC">
        <w:rPr>
          <w:lang w:val="en-GB" w:bidi="en-GB"/>
        </w:rPr>
        <w:t xml:space="preserve"> of any planned modifications to the demand facility which may affect the facility’s ability to comply with the technical requirements. </w:t>
      </w:r>
    </w:p>
    <w:p w:rsidRPr="007330FC" w:rsidR="00CB7A80" w:rsidP="00CB7A80" w:rsidRDefault="00CB7A80" w14:paraId="7E36E9DF" w14:textId="1BB702F4">
      <w:pPr>
        <w:pStyle w:val="Ingenafstand"/>
      </w:pPr>
    </w:p>
    <w:p w:rsidRPr="007330FC" w:rsidR="00CB7A80" w:rsidRDefault="00CB7A80" w14:paraId="56F916B1" w14:textId="4F5B97CD">
      <w:r w:rsidRPr="007330FC">
        <w:rPr>
          <w:lang w:val="en-GB" w:bidi="en-GB"/>
        </w:rPr>
        <w:t xml:space="preserve">The Facility Owner must inform the </w:t>
      </w:r>
      <w:r w:rsidR="00B0056C">
        <w:rPr>
          <w:lang w:val="en-GB" w:bidi="en-GB"/>
        </w:rPr>
        <w:t>DSO</w:t>
      </w:r>
      <w:r w:rsidRPr="007330FC">
        <w:rPr>
          <w:lang w:val="en-GB" w:bidi="en-GB"/>
        </w:rPr>
        <w:t xml:space="preserve"> well in advance of planned test programmes. </w:t>
      </w:r>
    </w:p>
    <w:p w:rsidRPr="007330FC" w:rsidR="00C87E58" w:rsidP="00C87E58" w:rsidRDefault="00C87E58" w14:paraId="73DFEF9C" w14:textId="70F821BD">
      <w:pPr>
        <w:pStyle w:val="Ingenafstand"/>
        <w:ind w:left="0"/>
      </w:pPr>
    </w:p>
    <w:p w:rsidRPr="007330FC" w:rsidR="00C87E58" w:rsidP="00C87E58" w:rsidRDefault="00487036" w14:paraId="7A33496A" w14:textId="07DB62D3">
      <w:pPr>
        <w:pStyle w:val="Ingenafstand"/>
        <w:ind w:left="0"/>
        <w:rPr>
          <w:b/>
        </w:rPr>
      </w:pPr>
      <w:r w:rsidRPr="007330FC">
        <w:rPr>
          <w:b/>
          <w:lang w:val="en-GB" w:bidi="en-GB"/>
        </w:rPr>
        <w:t xml:space="preserve">Rights and obligations of the </w:t>
      </w:r>
      <w:r w:rsidR="00B0056C">
        <w:rPr>
          <w:b/>
          <w:lang w:val="en-GB" w:bidi="en-GB"/>
        </w:rPr>
        <w:t>DSO</w:t>
      </w:r>
    </w:p>
    <w:p w:rsidRPr="007330FC" w:rsidR="00DC6CF4" w:rsidP="00C87E58" w:rsidRDefault="00DC6CF4" w14:paraId="7FC3EFCF" w14:textId="77777777">
      <w:pPr>
        <w:pStyle w:val="Ingenafstand"/>
        <w:ind w:left="0"/>
        <w:rPr>
          <w:b/>
        </w:rPr>
      </w:pPr>
    </w:p>
    <w:p w:rsidRPr="007330FC" w:rsidR="00C87E58" w:rsidP="00DC6CF4" w:rsidRDefault="005B6D8B" w14:paraId="630C14A6" w14:textId="50FF87FE">
      <w:r w:rsidRPr="007330FC">
        <w:rPr>
          <w:lang w:val="en-GB" w:bidi="en-GB"/>
        </w:rPr>
        <w:t xml:space="preserve">The </w:t>
      </w:r>
      <w:r w:rsidR="00B0056C">
        <w:rPr>
          <w:lang w:val="en-GB" w:bidi="en-GB"/>
        </w:rPr>
        <w:t>DSO</w:t>
      </w:r>
      <w:r w:rsidRPr="007330FC">
        <w:rPr>
          <w:lang w:val="en-GB" w:bidi="en-GB"/>
        </w:rPr>
        <w:t xml:space="preserve"> is entitled demand conformity tests and simulations of the demand facility throughout the facility’s lifetime, either </w:t>
      </w:r>
      <w:r w:rsidR="003C2EC4">
        <w:rPr>
          <w:lang w:val="en-GB" w:bidi="en-GB"/>
        </w:rPr>
        <w:t xml:space="preserve">according to a regular </w:t>
      </w:r>
      <w:r w:rsidRPr="007330FC">
        <w:rPr>
          <w:lang w:val="en-GB" w:bidi="en-GB"/>
        </w:rPr>
        <w:t>schedule, after faults or after significant modifications to the facility.</w:t>
      </w:r>
    </w:p>
    <w:p w:rsidRPr="007330FC" w:rsidR="00DC6CF4" w:rsidP="00DC6CF4" w:rsidRDefault="00DC6CF4" w14:paraId="4AD1685F" w14:textId="5E9DDB47">
      <w:pPr>
        <w:pStyle w:val="Ingenafstand"/>
      </w:pPr>
    </w:p>
    <w:p w:rsidRPr="007330FC" w:rsidR="00DC6CF4" w:rsidP="007C5B51" w:rsidRDefault="005B6D8B" w14:paraId="68F219AB" w14:textId="4C3A513D">
      <w:r w:rsidRPr="007330FC">
        <w:rPr>
          <w:lang w:val="en-GB" w:bidi="en-GB"/>
        </w:rPr>
        <w:t xml:space="preserve">The </w:t>
      </w:r>
      <w:r w:rsidR="00B0056C">
        <w:rPr>
          <w:lang w:val="en-GB" w:bidi="en-GB"/>
        </w:rPr>
        <w:t>DSO</w:t>
      </w:r>
      <w:r w:rsidRPr="007330FC">
        <w:rPr>
          <w:lang w:val="en-GB" w:bidi="en-GB"/>
        </w:rPr>
        <w:t xml:space="preserve"> must inform the Facility Owner </w:t>
      </w:r>
      <w:r w:rsidR="00617AB6">
        <w:rPr>
          <w:lang w:val="en-GB" w:bidi="en-GB"/>
        </w:rPr>
        <w:t xml:space="preserve">which </w:t>
      </w:r>
      <w:r w:rsidRPr="007330FC">
        <w:rPr>
          <w:lang w:val="en-GB" w:bidi="en-GB"/>
        </w:rPr>
        <w:t xml:space="preserve">information and documents </w:t>
      </w:r>
      <w:r w:rsidR="00617AB6">
        <w:rPr>
          <w:lang w:val="en-GB" w:bidi="en-GB"/>
        </w:rPr>
        <w:t xml:space="preserve">must </w:t>
      </w:r>
      <w:r w:rsidRPr="007330FC">
        <w:rPr>
          <w:lang w:val="en-GB" w:bidi="en-GB"/>
        </w:rPr>
        <w:t>be submitted for such a test.</w:t>
      </w:r>
    </w:p>
    <w:p w:rsidRPr="007330FC" w:rsidR="00774C2D" w:rsidP="00774C2D" w:rsidRDefault="00774C2D" w14:paraId="3C61A933" w14:textId="09A4F068">
      <w:pPr>
        <w:pStyle w:val="Ingenafstand"/>
      </w:pPr>
    </w:p>
    <w:p w:rsidRPr="007330FC" w:rsidR="00774C2D" w:rsidP="00487036" w:rsidRDefault="005B6D8B" w14:paraId="17A78852" w14:textId="744B7F4D">
      <w:r w:rsidRPr="007330FC">
        <w:rPr>
          <w:lang w:val="en-GB" w:bidi="en-GB"/>
        </w:rPr>
        <w:t xml:space="preserve">The </w:t>
      </w:r>
      <w:r w:rsidR="00B0056C">
        <w:rPr>
          <w:lang w:val="en-GB" w:bidi="en-GB"/>
        </w:rPr>
        <w:t>DSO</w:t>
      </w:r>
      <w:r w:rsidRPr="007330FC">
        <w:rPr>
          <w:lang w:val="en-GB" w:bidi="en-GB"/>
        </w:rPr>
        <w:t xml:space="preserve"> must specify the division of responsibilities in connection with conformity tests, </w:t>
      </w:r>
      <w:proofErr w:type="gramStart"/>
      <w:r w:rsidRPr="007330FC">
        <w:rPr>
          <w:lang w:val="en-GB" w:bidi="en-GB"/>
        </w:rPr>
        <w:t>simulation</w:t>
      </w:r>
      <w:proofErr w:type="gramEnd"/>
      <w:r w:rsidRPr="007330FC">
        <w:rPr>
          <w:lang w:val="en-GB" w:bidi="en-GB"/>
        </w:rPr>
        <w:t xml:space="preserve"> and monitoring.</w:t>
      </w:r>
    </w:p>
    <w:p w:rsidRPr="007330FC" w:rsidR="00B37907" w:rsidP="00774C2D" w:rsidRDefault="00B37907" w14:paraId="634EF285" w14:textId="66BABF91">
      <w:pPr>
        <w:pStyle w:val="Ingenafstand"/>
      </w:pPr>
    </w:p>
    <w:p w:rsidRPr="007330FC" w:rsidR="00B37907" w:rsidP="00487036" w:rsidRDefault="005B6D8B" w14:paraId="2554030E" w14:textId="0F5FADA1">
      <w:r w:rsidRPr="007330FC">
        <w:rPr>
          <w:lang w:val="en-GB" w:bidi="en-GB"/>
        </w:rPr>
        <w:t xml:space="preserve">The </w:t>
      </w:r>
      <w:r w:rsidR="00B0056C">
        <w:rPr>
          <w:lang w:val="en-GB" w:bidi="en-GB"/>
        </w:rPr>
        <w:t>DSO</w:t>
      </w:r>
      <w:r w:rsidRPr="007330FC">
        <w:rPr>
          <w:lang w:val="en-GB" w:bidi="en-GB"/>
        </w:rPr>
        <w:t xml:space="preserve"> is entitled to delegate compliance monitoring tasks to third parties.</w:t>
      </w:r>
    </w:p>
    <w:p w:rsidRPr="007330FC" w:rsidR="00E66984" w:rsidP="006E44C8" w:rsidRDefault="00E66984" w14:paraId="7DB1421C" w14:textId="77777777">
      <w:pPr>
        <w:numPr>
          <w:ilvl w:val="0"/>
          <w:numId w:val="0"/>
        </w:numPr>
        <w:ind w:left="578"/>
      </w:pPr>
    </w:p>
    <w:p w:rsidRPr="007330FC" w:rsidR="00E66984" w:rsidP="00586838" w:rsidRDefault="003C2EC4" w14:paraId="144229AE" w14:textId="6494A851">
      <w:pPr>
        <w:pStyle w:val="Overskrift1"/>
        <w:ind w:left="284" w:hanging="568"/>
      </w:pPr>
      <w:bookmarkStart w:name="_Toc44067837" w:id="11"/>
      <w:r>
        <w:rPr>
          <w:lang w:val="en-GB" w:bidi="en-GB"/>
        </w:rPr>
        <w:t>Recurring</w:t>
      </w:r>
      <w:r w:rsidRPr="007330FC">
        <w:rPr>
          <w:lang w:val="en-GB" w:bidi="en-GB"/>
        </w:rPr>
        <w:t xml:space="preserve"> </w:t>
      </w:r>
      <w:r w:rsidRPr="007330FC" w:rsidR="00E66984">
        <w:rPr>
          <w:lang w:val="en-GB" w:bidi="en-GB"/>
        </w:rPr>
        <w:t>payments</w:t>
      </w:r>
      <w:bookmarkEnd w:id="11"/>
      <w:r w:rsidRPr="007330FC" w:rsidR="00E66984">
        <w:rPr>
          <w:lang w:val="en-GB" w:bidi="en-GB"/>
        </w:rPr>
        <w:t xml:space="preserve"> </w:t>
      </w:r>
    </w:p>
    <w:p w:rsidRPr="007330FC" w:rsidR="00B57C93" w:rsidP="001F2421" w:rsidRDefault="00B57C93" w14:paraId="636A7642" w14:textId="090AEBCF">
      <w:r w:rsidRPr="007330FC">
        <w:rPr>
          <w:lang w:val="en-GB" w:bidi="en-GB"/>
        </w:rPr>
        <w:t xml:space="preserve">The use of the </w:t>
      </w:r>
      <w:r w:rsidR="00FF277D">
        <w:rPr>
          <w:lang w:val="en-GB" w:bidi="en-GB"/>
        </w:rPr>
        <w:t>public electricity</w:t>
      </w:r>
      <w:r w:rsidRPr="007330FC">
        <w:rPr>
          <w:lang w:val="en-GB" w:bidi="en-GB"/>
        </w:rPr>
        <w:t xml:space="preserve"> supply grid is subject to a charge by the </w:t>
      </w:r>
      <w:r w:rsidR="00B0056C">
        <w:rPr>
          <w:lang w:val="en-GB" w:bidi="en-GB"/>
        </w:rPr>
        <w:t>DSO</w:t>
      </w:r>
      <w:r w:rsidRPr="007330FC">
        <w:rPr>
          <w:lang w:val="en-GB" w:bidi="en-GB"/>
        </w:rPr>
        <w:t xml:space="preserve">. The prices charged by the </w:t>
      </w:r>
      <w:r w:rsidR="00B0056C">
        <w:rPr>
          <w:lang w:val="en-GB" w:bidi="en-GB"/>
        </w:rPr>
        <w:t>DSO</w:t>
      </w:r>
      <w:r w:rsidRPr="007330FC">
        <w:rPr>
          <w:lang w:val="en-GB" w:bidi="en-GB"/>
        </w:rPr>
        <w:t xml:space="preserve"> are fixed in accordance with the Danish Electricity Supply Act in force at any time and the rules laid down pursuant to it. The pricing method has been approved by the Danish Utility Regulator and prices have been </w:t>
      </w:r>
      <w:r w:rsidR="003C2EC4">
        <w:rPr>
          <w:lang w:val="en-GB" w:bidi="en-GB"/>
        </w:rPr>
        <w:t xml:space="preserve">submitted </w:t>
      </w:r>
      <w:r w:rsidRPr="007330FC">
        <w:rPr>
          <w:lang w:val="en-GB" w:bidi="en-GB"/>
        </w:rPr>
        <w:t xml:space="preserve">to the Danish Utility Regulator. </w:t>
      </w:r>
    </w:p>
    <w:p w:rsidRPr="007330FC" w:rsidR="00B57C93" w:rsidP="00B57C93" w:rsidRDefault="00B57C93" w14:paraId="2EDB9D27" w14:textId="77777777">
      <w:pPr>
        <w:pStyle w:val="Ingenafstand"/>
        <w:ind w:left="0"/>
      </w:pPr>
    </w:p>
    <w:p w:rsidRPr="007330FC" w:rsidR="00B57C93" w:rsidP="00D96CA4" w:rsidRDefault="00E66984" w14:paraId="6DD4B366" w14:textId="62760C7B">
      <w:r w:rsidRPr="007330FC">
        <w:rPr>
          <w:lang w:val="en-GB" w:bidi="en-GB"/>
        </w:rPr>
        <w:t xml:space="preserve">The Facility Owner must make arrangements with a balance-responsible party for consumption in accordance with the TSO’s regulations. </w:t>
      </w:r>
    </w:p>
    <w:p w:rsidRPr="007330FC" w:rsidR="00E66984" w:rsidP="006E44C8" w:rsidRDefault="00E66984" w14:paraId="4EEECDBB" w14:textId="40254826">
      <w:pPr>
        <w:numPr>
          <w:ilvl w:val="0"/>
          <w:numId w:val="0"/>
        </w:numPr>
        <w:ind w:left="578"/>
      </w:pPr>
    </w:p>
    <w:p w:rsidRPr="00287016" w:rsidR="00287016" w:rsidP="00287016" w:rsidRDefault="003C2EC4" w14:paraId="7C1B1AE3" w14:textId="43171487">
      <w:r>
        <w:rPr>
          <w:lang w:val="en-GB" w:bidi="en-GB"/>
        </w:rPr>
        <w:t xml:space="preserve">Recurring </w:t>
      </w:r>
      <w:r w:rsidR="00287016">
        <w:rPr>
          <w:lang w:val="en-GB" w:bidi="en-GB"/>
        </w:rPr>
        <w:t xml:space="preserve">payments applicable specifically to this Agreement are set out in </w:t>
      </w:r>
      <w:r w:rsidR="00287016">
        <w:rPr>
          <w:b/>
          <w:lang w:val="en-GB" w:bidi="en-GB"/>
        </w:rPr>
        <w:t>Appendix 2</w:t>
      </w:r>
      <w:r w:rsidR="00287016">
        <w:rPr>
          <w:lang w:val="en-GB" w:bidi="en-GB"/>
        </w:rPr>
        <w:t xml:space="preserve">. The </w:t>
      </w:r>
      <w:r w:rsidR="00B0056C">
        <w:rPr>
          <w:lang w:val="en-GB" w:bidi="en-GB"/>
        </w:rPr>
        <w:t>DSO</w:t>
      </w:r>
      <w:r w:rsidR="00287016">
        <w:rPr>
          <w:lang w:val="en-GB" w:bidi="en-GB"/>
        </w:rPr>
        <w:t xml:space="preserve"> collects the </w:t>
      </w:r>
      <w:r>
        <w:rPr>
          <w:lang w:val="en-GB" w:bidi="en-GB"/>
        </w:rPr>
        <w:t xml:space="preserve">recurring </w:t>
      </w:r>
      <w:r w:rsidR="00287016">
        <w:rPr>
          <w:lang w:val="en-GB" w:bidi="en-GB"/>
        </w:rPr>
        <w:t>payments from the Facility Owner or its electricity supplier. However, these payments may be changed in accordance with the legislation in force at any time.</w:t>
      </w:r>
    </w:p>
    <w:p w:rsidRPr="007330FC" w:rsidR="00B46E1D" w:rsidP="00B46E1D" w:rsidRDefault="00B46E1D" w14:paraId="7886754B" w14:textId="6E0E3F4A">
      <w:pPr>
        <w:pStyle w:val="Ingenafstand"/>
      </w:pPr>
    </w:p>
    <w:p w:rsidRPr="007330FC" w:rsidR="00A570FF" w:rsidP="00C53F9F" w:rsidRDefault="00A570FF" w14:paraId="79FA7C55" w14:textId="77777777">
      <w:pPr>
        <w:pStyle w:val="Ingenafstand"/>
      </w:pPr>
    </w:p>
    <w:p w:rsidRPr="007330FC" w:rsidR="00E66984" w:rsidP="00586838" w:rsidRDefault="00E66984" w14:paraId="1FDF1A38" w14:textId="77777777">
      <w:pPr>
        <w:pStyle w:val="Overskrift1"/>
        <w:ind w:left="284" w:hanging="568"/>
      </w:pPr>
      <w:bookmarkStart w:name="_Toc44067838" w:id="12"/>
      <w:r w:rsidRPr="007330FC">
        <w:rPr>
          <w:lang w:val="en-GB" w:bidi="en-GB"/>
        </w:rPr>
        <w:t>Duration, termination and renegotiation of the Agreement</w:t>
      </w:r>
      <w:bookmarkEnd w:id="12"/>
    </w:p>
    <w:p w:rsidRPr="007330FC" w:rsidR="006B18C5" w:rsidP="006B7A1C" w:rsidRDefault="00C10C86" w14:paraId="22144937" w14:textId="386DC4C3">
      <w:r w:rsidRPr="007330FC">
        <w:rPr>
          <w:lang w:val="en-GB" w:bidi="en-GB"/>
        </w:rPr>
        <w:t xml:space="preserve">The Agreement enters into force when signed by the parties and remains valid throughout the facility’s lifetime. The Agreement may be terminated by the Facility Owner </w:t>
      </w:r>
      <w:r w:rsidR="003C2EC4">
        <w:rPr>
          <w:lang w:val="en-GB" w:bidi="en-GB"/>
        </w:rPr>
        <w:t>with</w:t>
      </w:r>
      <w:r w:rsidRPr="007330FC" w:rsidR="003C2EC4">
        <w:rPr>
          <w:lang w:val="en-GB" w:bidi="en-GB"/>
        </w:rPr>
        <w:t xml:space="preserve"> </w:t>
      </w:r>
      <w:r w:rsidRPr="007330FC">
        <w:rPr>
          <w:lang w:val="en-GB" w:bidi="en-GB"/>
        </w:rPr>
        <w:t xml:space="preserve">one month’s notice to expire on the first of a month. Upon termination of the Agreement, the </w:t>
      </w:r>
      <w:r w:rsidR="0067606A">
        <w:rPr>
          <w:lang w:val="en-GB" w:bidi="en-GB"/>
        </w:rPr>
        <w:t>contracted power</w:t>
      </w:r>
      <w:r w:rsidRPr="007330FC" w:rsidR="0067606A">
        <w:rPr>
          <w:lang w:val="en-GB" w:bidi="en-GB"/>
        </w:rPr>
        <w:t xml:space="preserve"> </w:t>
      </w:r>
      <w:r w:rsidRPr="007330FC">
        <w:rPr>
          <w:lang w:val="en-GB" w:bidi="en-GB"/>
        </w:rPr>
        <w:t xml:space="preserve">supply </w:t>
      </w:r>
      <w:r w:rsidR="0067606A">
        <w:rPr>
          <w:lang w:val="en-GB" w:bidi="en-GB"/>
        </w:rPr>
        <w:t xml:space="preserve">to </w:t>
      </w:r>
      <w:r w:rsidRPr="007330FC">
        <w:rPr>
          <w:lang w:val="en-GB" w:bidi="en-GB"/>
        </w:rPr>
        <w:t>the demand facility will lapse.</w:t>
      </w:r>
    </w:p>
    <w:p w:rsidRPr="007330FC" w:rsidR="005C417B" w:rsidP="001F2421" w:rsidRDefault="005C417B" w14:paraId="5A811842" w14:textId="77777777">
      <w:pPr>
        <w:pStyle w:val="Ingenafstand"/>
      </w:pPr>
    </w:p>
    <w:p w:rsidRPr="007330FC" w:rsidR="00871B19" w:rsidP="00871B19" w:rsidRDefault="00871B19" w14:paraId="659F7A49" w14:textId="66223F7C">
      <w:r w:rsidRPr="007330FC">
        <w:rPr>
          <w:lang w:val="en-GB" w:bidi="en-GB"/>
        </w:rPr>
        <w:t xml:space="preserve">All communications from the </w:t>
      </w:r>
      <w:r w:rsidR="00B0056C">
        <w:rPr>
          <w:lang w:val="en-GB" w:bidi="en-GB"/>
        </w:rPr>
        <w:t>DSO</w:t>
      </w:r>
      <w:r w:rsidRPr="007330FC">
        <w:rPr>
          <w:lang w:val="en-GB" w:bidi="en-GB"/>
        </w:rPr>
        <w:t xml:space="preserve"> concerning amendment, termination of the Agreement </w:t>
      </w:r>
      <w:r w:rsidRPr="007330FC">
        <w:rPr>
          <w:lang w:val="en-GB" w:bidi="en-GB"/>
        </w:rPr>
        <w:lastRenderedPageBreak/>
        <w:t xml:space="preserve">(see </w:t>
      </w:r>
      <w:r w:rsidRPr="007330FC">
        <w:rPr>
          <w:b/>
          <w:lang w:val="en-GB" w:bidi="en-GB"/>
        </w:rPr>
        <w:t>clause 10</w:t>
      </w:r>
      <w:r w:rsidRPr="007330FC">
        <w:rPr>
          <w:lang w:val="en-GB" w:bidi="en-GB"/>
        </w:rPr>
        <w:t xml:space="preserve">) or notice thereof must be sent simultaneously to the Facility Owner and a third </w:t>
      </w:r>
      <w:proofErr w:type="gramStart"/>
      <w:r w:rsidRPr="007330FC">
        <w:rPr>
          <w:lang w:val="en-GB" w:bidi="en-GB"/>
        </w:rPr>
        <w:t>party, if</w:t>
      </w:r>
      <w:proofErr w:type="gramEnd"/>
      <w:r w:rsidRPr="007330FC">
        <w:rPr>
          <w:lang w:val="en-GB" w:bidi="en-GB"/>
        </w:rPr>
        <w:t xml:space="preserve"> one is specified in </w:t>
      </w:r>
      <w:r w:rsidRPr="007330FC">
        <w:rPr>
          <w:b/>
          <w:lang w:val="en-GB" w:bidi="en-GB"/>
        </w:rPr>
        <w:t>Appendix 1</w:t>
      </w:r>
      <w:r w:rsidRPr="007330FC">
        <w:rPr>
          <w:lang w:val="en-GB" w:bidi="en-GB"/>
        </w:rPr>
        <w:t>.</w:t>
      </w:r>
    </w:p>
    <w:p w:rsidRPr="007330FC" w:rsidR="00304265" w:rsidP="00304265" w:rsidRDefault="00304265" w14:paraId="6661E9AA" w14:textId="36D2BD26">
      <w:pPr>
        <w:pStyle w:val="Ingenafstand"/>
      </w:pPr>
    </w:p>
    <w:p w:rsidRPr="007330FC" w:rsidR="00E66984" w:rsidP="006E44C8" w:rsidRDefault="00E66984" w14:paraId="355F4232" w14:textId="15380BD8">
      <w:r w:rsidRPr="007330FC">
        <w:rPr>
          <w:lang w:val="en-GB" w:bidi="en-GB"/>
        </w:rPr>
        <w:t>Both parties are entitled to demand renegotiation of this Agreement in the event of significant changes to the conditions of the Agreement.</w:t>
      </w:r>
    </w:p>
    <w:p w:rsidRPr="007330FC" w:rsidR="00E66984" w:rsidP="006E44C8" w:rsidRDefault="00E66984" w14:paraId="227B37EE" w14:textId="77777777">
      <w:pPr>
        <w:numPr>
          <w:ilvl w:val="0"/>
          <w:numId w:val="0"/>
        </w:numPr>
        <w:ind w:left="578"/>
      </w:pPr>
    </w:p>
    <w:p w:rsidRPr="007330FC" w:rsidR="00E66984" w:rsidP="006E44C8" w:rsidRDefault="00E66984" w14:paraId="6C1D6F0A" w14:textId="57C14AF4">
      <w:r w:rsidRPr="007330FC">
        <w:rPr>
          <w:lang w:val="en-GB" w:bidi="en-GB"/>
        </w:rPr>
        <w:t xml:space="preserve">The application for renegotiation must be made in writing, specifying which assumptions are considered to have changed significantly and the conditions to be renegotiated. </w:t>
      </w:r>
    </w:p>
    <w:p w:rsidRPr="007330FC" w:rsidR="00E66984" w:rsidP="006E44C8" w:rsidRDefault="00E66984" w14:paraId="4039BAB5" w14:textId="77777777">
      <w:pPr>
        <w:numPr>
          <w:ilvl w:val="0"/>
          <w:numId w:val="0"/>
        </w:numPr>
        <w:ind w:left="578"/>
      </w:pPr>
    </w:p>
    <w:p w:rsidRPr="007330FC" w:rsidR="00E66984" w:rsidP="006E44C8" w:rsidRDefault="00E66984" w14:paraId="01BC9723" w14:textId="77777777">
      <w:r w:rsidRPr="007330FC">
        <w:rPr>
          <w:lang w:val="en-GB" w:bidi="en-GB"/>
        </w:rPr>
        <w:t>The renegotiated Agreement enters into force by mutual agreement.</w:t>
      </w:r>
    </w:p>
    <w:p w:rsidRPr="007330FC" w:rsidR="00E66984" w:rsidP="006E44C8" w:rsidRDefault="00E66984" w14:paraId="3AFEC3FA" w14:textId="77777777">
      <w:pPr>
        <w:numPr>
          <w:ilvl w:val="0"/>
          <w:numId w:val="0"/>
        </w:numPr>
        <w:ind w:left="578"/>
      </w:pPr>
    </w:p>
    <w:p w:rsidRPr="007330FC" w:rsidR="00E66984" w:rsidP="006E44C8" w:rsidRDefault="00E66984" w14:paraId="5AB11261" w14:textId="6CB4154D">
      <w:r w:rsidRPr="007330FC">
        <w:rPr>
          <w:lang w:val="en-GB" w:bidi="en-GB"/>
        </w:rPr>
        <w:t xml:space="preserve">Should the legislation, including EU regulation, be amended in such a way that a provision of this Agreement would be contrary to it, each party is entitled to renegotiate the Agreement in order to align the provision with the legislation. </w:t>
      </w:r>
    </w:p>
    <w:p w:rsidRPr="007330FC" w:rsidR="00E66984" w:rsidP="006E44C8" w:rsidRDefault="00E66984" w14:paraId="561B0BCC" w14:textId="77777777">
      <w:pPr>
        <w:numPr>
          <w:ilvl w:val="0"/>
          <w:numId w:val="0"/>
        </w:numPr>
        <w:ind w:left="578"/>
      </w:pPr>
    </w:p>
    <w:p w:rsidRPr="007330FC" w:rsidR="00E66984" w:rsidP="006E44C8" w:rsidRDefault="00E66984" w14:paraId="66A074E9" w14:textId="60F9CA9D">
      <w:r w:rsidRPr="007330FC">
        <w:rPr>
          <w:lang w:val="en-GB" w:bidi="en-GB"/>
        </w:rPr>
        <w:t>If national or EU legislation is amended in such a way so as to alter the commercial market conditions for supplies covered by this Agreement, each party is entitled to renegotiate the Agreement in order to align the terms of this Agreement with the altered market conditions.</w:t>
      </w:r>
    </w:p>
    <w:p w:rsidRPr="007330FC" w:rsidR="00E66984" w:rsidP="006E44C8" w:rsidRDefault="00E66984" w14:paraId="34B20CC0" w14:textId="77777777">
      <w:pPr>
        <w:numPr>
          <w:ilvl w:val="0"/>
          <w:numId w:val="0"/>
        </w:numPr>
        <w:ind w:left="578"/>
      </w:pPr>
    </w:p>
    <w:p w:rsidRPr="007330FC" w:rsidR="00E66984" w:rsidP="006E44C8" w:rsidRDefault="00E66984" w14:paraId="2D9FF020" w14:textId="74D74E0A">
      <w:r w:rsidRPr="007330FC">
        <w:rPr>
          <w:lang w:val="en-GB" w:bidi="en-GB"/>
        </w:rPr>
        <w:t>The Agreement must be renegotiated if required by public authorities.</w:t>
      </w:r>
    </w:p>
    <w:p w:rsidRPr="007330FC" w:rsidR="00E66984" w:rsidP="004D1E4C" w:rsidRDefault="00E66984" w14:paraId="6BCBD550" w14:textId="77777777">
      <w:pPr>
        <w:numPr>
          <w:ilvl w:val="0"/>
          <w:numId w:val="0"/>
        </w:numPr>
        <w:ind w:left="578"/>
      </w:pPr>
    </w:p>
    <w:p w:rsidRPr="007330FC" w:rsidR="00E66984" w:rsidP="006E44C8" w:rsidRDefault="00E66984" w14:paraId="05C3482A" w14:textId="26B95872">
      <w:r w:rsidRPr="007330FC">
        <w:rPr>
          <w:lang w:val="en-GB" w:bidi="en-GB"/>
        </w:rPr>
        <w:t xml:space="preserve">If a party is entitled to renegotiate the Agreement under the above provisions, but the renegotiation does not lead to agreement between the parties, each party is entitled to demand that the dispute be settled in accordance with </w:t>
      </w:r>
      <w:r w:rsidRPr="007330FC">
        <w:rPr>
          <w:b/>
          <w:lang w:val="en-GB" w:bidi="en-GB"/>
        </w:rPr>
        <w:t>clause</w:t>
      </w:r>
      <w:r w:rsidRPr="007330FC">
        <w:rPr>
          <w:lang w:val="en-GB" w:bidi="en-GB"/>
        </w:rPr>
        <w:t xml:space="preserve"> </w:t>
      </w:r>
      <w:r w:rsidRPr="00457447" w:rsidR="0051460F">
        <w:rPr>
          <w:b/>
          <w:lang w:val="en-GB" w:bidi="en-GB"/>
        </w:rPr>
        <w:fldChar w:fldCharType="begin"/>
      </w:r>
      <w:r w:rsidRPr="00457447" w:rsidR="0051460F">
        <w:rPr>
          <w:b/>
          <w:lang w:val="en-GB" w:bidi="en-GB"/>
        </w:rPr>
        <w:instrText xml:space="preserve"> REF _Ref519502569 \r \h </w:instrText>
      </w:r>
      <w:r w:rsidRPr="00457447" w:rsidR="005E3D18">
        <w:rPr>
          <w:b/>
          <w:lang w:val="en-GB" w:bidi="en-GB"/>
        </w:rPr>
        <w:instrText xml:space="preserve"> \* MERGEFORMAT </w:instrText>
      </w:r>
      <w:r w:rsidRPr="00457447" w:rsidR="0051460F">
        <w:rPr>
          <w:b/>
          <w:lang w:val="en-GB" w:bidi="en-GB"/>
        </w:rPr>
      </w:r>
      <w:r w:rsidRPr="00457447" w:rsidR="0051460F">
        <w:rPr>
          <w:b/>
          <w:lang w:val="en-GB" w:bidi="en-GB"/>
        </w:rPr>
        <w:fldChar w:fldCharType="separate"/>
      </w:r>
      <w:r w:rsidR="00075093">
        <w:rPr>
          <w:b/>
          <w:lang w:val="en-GB" w:bidi="en-GB"/>
        </w:rPr>
        <w:t xml:space="preserve">12 </w:t>
      </w:r>
      <w:r w:rsidRPr="00457447" w:rsidR="0051460F">
        <w:rPr>
          <w:b/>
          <w:lang w:val="en-GB" w:bidi="en-GB"/>
        </w:rPr>
        <w:fldChar w:fldCharType="end"/>
      </w:r>
      <w:r w:rsidRPr="007330FC">
        <w:rPr>
          <w:lang w:val="en-GB" w:bidi="en-GB"/>
        </w:rPr>
        <w:t>.</w:t>
      </w:r>
    </w:p>
    <w:p w:rsidRPr="007330FC" w:rsidR="0010245E" w:rsidP="0010245E" w:rsidRDefault="0010245E" w14:paraId="0297EABE" w14:textId="19153732">
      <w:pPr>
        <w:pStyle w:val="Ingenafstand"/>
      </w:pPr>
    </w:p>
    <w:p w:rsidRPr="007330FC" w:rsidR="0010245E" w:rsidP="0010245E" w:rsidRDefault="0010245E" w14:paraId="5432A1B1" w14:textId="1C56CBFD">
      <w:r w:rsidRPr="007330FC">
        <w:rPr>
          <w:lang w:val="en-GB" w:bidi="en-GB"/>
        </w:rPr>
        <w:t>If the demand facility has not consumed electricity for a full year, this Agreement may be terminated immediately</w:t>
      </w:r>
      <w:r w:rsidR="00106766">
        <w:rPr>
          <w:lang w:val="en-GB" w:bidi="en-GB"/>
        </w:rPr>
        <w:t xml:space="preserve"> </w:t>
      </w:r>
      <w:proofErr w:type="gramStart"/>
      <w:r w:rsidR="00106766">
        <w:rPr>
          <w:lang w:val="en-GB" w:bidi="en-GB"/>
        </w:rPr>
        <w:t>in order for</w:t>
      </w:r>
      <w:proofErr w:type="gramEnd"/>
      <w:r w:rsidR="00106766">
        <w:rPr>
          <w:lang w:val="en-GB" w:bidi="en-GB"/>
        </w:rPr>
        <w:t xml:space="preserve"> </w:t>
      </w:r>
      <w:r w:rsidRPr="007330FC">
        <w:rPr>
          <w:lang w:val="en-GB" w:bidi="en-GB"/>
        </w:rPr>
        <w:t>new agreement adapted to the new circumstances</w:t>
      </w:r>
      <w:r w:rsidR="00106766">
        <w:rPr>
          <w:lang w:val="en-GB" w:bidi="en-GB"/>
        </w:rPr>
        <w:t xml:space="preserve"> to be concluded</w:t>
      </w:r>
      <w:r w:rsidRPr="007330FC">
        <w:rPr>
          <w:lang w:val="en-GB" w:bidi="en-GB"/>
        </w:rPr>
        <w:t>.</w:t>
      </w:r>
    </w:p>
    <w:p w:rsidRPr="007330FC" w:rsidR="0010245E" w:rsidP="0055692B" w:rsidRDefault="0010245E" w14:paraId="5DF3272C" w14:textId="77777777">
      <w:pPr>
        <w:pStyle w:val="Ingenafstand"/>
      </w:pPr>
    </w:p>
    <w:p w:rsidRPr="007330FC" w:rsidR="00E66984" w:rsidP="004D1E4C" w:rsidRDefault="00E66984" w14:paraId="2FB42E87" w14:textId="77777777">
      <w:pPr>
        <w:numPr>
          <w:ilvl w:val="0"/>
          <w:numId w:val="0"/>
        </w:numPr>
        <w:ind w:left="578"/>
      </w:pPr>
    </w:p>
    <w:p w:rsidRPr="007330FC" w:rsidR="00E66984" w:rsidP="00586838" w:rsidRDefault="00E66984" w14:paraId="2E69BE85" w14:textId="7B4B6BA1">
      <w:pPr>
        <w:pStyle w:val="Overskrift1"/>
        <w:ind w:left="284" w:hanging="568"/>
      </w:pPr>
      <w:r w:rsidRPr="007330FC">
        <w:rPr>
          <w:lang w:val="en-GB" w:bidi="en-GB"/>
        </w:rPr>
        <w:t xml:space="preserve"> </w:t>
      </w:r>
      <w:bookmarkStart w:name="_Toc44067839" w:id="13"/>
      <w:r w:rsidRPr="007330FC">
        <w:rPr>
          <w:lang w:val="en-GB" w:bidi="en-GB"/>
        </w:rPr>
        <w:t>Breach and interruption of the electrical connection</w:t>
      </w:r>
      <w:bookmarkEnd w:id="13"/>
    </w:p>
    <w:p w:rsidRPr="007330FC" w:rsidR="005545BD" w:rsidP="00487036" w:rsidRDefault="00C10C86" w14:paraId="186DEF0C" w14:textId="18CCCEE1">
      <w:r w:rsidRPr="007330FC">
        <w:rPr>
          <w:lang w:val="en-GB" w:bidi="en-GB"/>
        </w:rPr>
        <w:t>In the event of material breach by a party, the other party must be entitled to terminate the Agreement if the breach can be rectified and deficiencies have not been remedied within 30 working days of having been requested in writing to do so.</w:t>
      </w:r>
    </w:p>
    <w:p w:rsidRPr="007330FC" w:rsidR="005545BD" w:rsidP="00DC7CFA" w:rsidRDefault="005545BD" w14:paraId="42646701" w14:textId="77777777">
      <w:pPr>
        <w:numPr>
          <w:ilvl w:val="0"/>
          <w:numId w:val="0"/>
        </w:numPr>
        <w:ind w:left="578"/>
      </w:pPr>
    </w:p>
    <w:p w:rsidRPr="007330FC" w:rsidR="00C10C86" w:rsidP="00487036" w:rsidRDefault="00C10C86" w14:paraId="59BD1196" w14:textId="04294171">
      <w:r w:rsidRPr="007330FC">
        <w:rPr>
          <w:lang w:val="en-GB" w:bidi="en-GB"/>
        </w:rPr>
        <w:t>If one of the parties files for bankruptcy or opens restructuring proceedings, the other party is entitled to terminate this Agreement without notice.</w:t>
      </w:r>
    </w:p>
    <w:p w:rsidRPr="007330FC" w:rsidR="00A95153" w:rsidP="00487036" w:rsidRDefault="00A95153" w14:paraId="2D18F940" w14:textId="7356190D">
      <w:pPr>
        <w:numPr>
          <w:ilvl w:val="0"/>
          <w:numId w:val="0"/>
        </w:numPr>
        <w:ind w:left="578"/>
      </w:pPr>
    </w:p>
    <w:p w:rsidRPr="007330FC" w:rsidR="00E66984" w:rsidP="006E44C8" w:rsidRDefault="00E66984" w14:paraId="14D51090" w14:textId="3583067A">
      <w:r w:rsidRPr="007330FC">
        <w:rPr>
          <w:lang w:val="en-GB" w:bidi="en-GB"/>
        </w:rPr>
        <w:t>The party in breach of the Agreement is obliged to compensate the other party for any losses suffered as a result of the breach. However, neither party is liable for operating losses, loss of profit or other indirect losses, unless the breach was intentional or the result of gross negligence.</w:t>
      </w:r>
    </w:p>
    <w:p w:rsidRPr="007330FC" w:rsidR="00E66984" w:rsidP="004D1E4C" w:rsidRDefault="00E66984" w14:paraId="4CE90F52" w14:textId="77777777">
      <w:pPr>
        <w:numPr>
          <w:ilvl w:val="0"/>
          <w:numId w:val="0"/>
        </w:numPr>
        <w:ind w:left="578"/>
      </w:pPr>
    </w:p>
    <w:p w:rsidRPr="007330FC" w:rsidR="00E66984" w:rsidP="006E44C8" w:rsidRDefault="00E66984" w14:paraId="23FDA0AC" w14:textId="6FD8119D">
      <w:r w:rsidRPr="007330FC">
        <w:rPr>
          <w:lang w:val="en-GB" w:bidi="en-GB"/>
        </w:rPr>
        <w:lastRenderedPageBreak/>
        <w:t xml:space="preserve">If the demand facility fails to fulfil the operational obligations referred to in </w:t>
      </w:r>
      <w:r w:rsidRPr="007330FC">
        <w:rPr>
          <w:b/>
          <w:lang w:val="en-GB" w:bidi="en-GB"/>
        </w:rPr>
        <w:t>clause 5</w:t>
      </w:r>
      <w:r w:rsidRPr="007330FC">
        <w:rPr>
          <w:lang w:val="en-GB" w:bidi="en-GB"/>
        </w:rPr>
        <w:t xml:space="preserve"> of the Agreement, the </w:t>
      </w:r>
      <w:r w:rsidR="00B0056C">
        <w:rPr>
          <w:lang w:val="en-GB" w:bidi="en-GB"/>
        </w:rPr>
        <w:t>DSO</w:t>
      </w:r>
      <w:r w:rsidRPr="007330FC">
        <w:rPr>
          <w:lang w:val="en-GB" w:bidi="en-GB"/>
        </w:rPr>
        <w:t xml:space="preserve"> is entitled to disconnect the electrical connection to the demand facility</w:t>
      </w:r>
      <w:r w:rsidR="00106766">
        <w:rPr>
          <w:lang w:val="en-GB" w:bidi="en-GB"/>
        </w:rPr>
        <w:t>,</w:t>
      </w:r>
      <w:r w:rsidRPr="007330FC">
        <w:rPr>
          <w:lang w:val="en-GB" w:bidi="en-GB"/>
        </w:rPr>
        <w:t xml:space="preserve"> after prior notice to the Facility Owner</w:t>
      </w:r>
      <w:r w:rsidR="00106766">
        <w:rPr>
          <w:lang w:val="en-GB" w:bidi="en-GB"/>
        </w:rPr>
        <w:t>,</w:t>
      </w:r>
      <w:r w:rsidRPr="007330FC">
        <w:rPr>
          <w:lang w:val="en-GB" w:bidi="en-GB"/>
        </w:rPr>
        <w:t xml:space="preserve"> until the facility is compliant. If the operation of the demand facility endanger</w:t>
      </w:r>
      <w:r w:rsidR="00106766">
        <w:rPr>
          <w:lang w:val="en-GB" w:bidi="en-GB"/>
        </w:rPr>
        <w:t>s</w:t>
      </w:r>
      <w:r w:rsidRPr="007330FC">
        <w:rPr>
          <w:lang w:val="en-GB" w:bidi="en-GB"/>
        </w:rPr>
        <w:t xml:space="preserve"> personal safety</w:t>
      </w:r>
      <w:r w:rsidR="0067606A">
        <w:rPr>
          <w:lang w:val="en-GB" w:bidi="en-GB"/>
        </w:rPr>
        <w:t>,</w:t>
      </w:r>
      <w:r w:rsidRPr="007330FC">
        <w:rPr>
          <w:lang w:val="en-GB" w:bidi="en-GB"/>
        </w:rPr>
        <w:t xml:space="preserve"> security of supply</w:t>
      </w:r>
      <w:r w:rsidR="0067606A">
        <w:rPr>
          <w:lang w:val="en-GB" w:bidi="en-GB"/>
        </w:rPr>
        <w:t xml:space="preserve"> and/or </w:t>
      </w:r>
      <w:r w:rsidRPr="007330FC">
        <w:rPr>
          <w:lang w:val="en-GB" w:bidi="en-GB"/>
        </w:rPr>
        <w:t xml:space="preserve">system security, the </w:t>
      </w:r>
      <w:r w:rsidR="00B0056C">
        <w:rPr>
          <w:lang w:val="en-GB" w:bidi="en-GB"/>
        </w:rPr>
        <w:t>DSO</w:t>
      </w:r>
      <w:r w:rsidRPr="007330FC">
        <w:rPr>
          <w:lang w:val="en-GB" w:bidi="en-GB"/>
        </w:rPr>
        <w:t xml:space="preserve"> is entitled to disconnect the electrical connection </w:t>
      </w:r>
      <w:r w:rsidRPr="007330FC" w:rsidR="0067606A">
        <w:rPr>
          <w:lang w:val="en-GB" w:bidi="en-GB"/>
        </w:rPr>
        <w:t>immediat</w:t>
      </w:r>
      <w:r w:rsidR="0067606A">
        <w:rPr>
          <w:lang w:val="en-GB" w:bidi="en-GB"/>
        </w:rPr>
        <w:t>ely</w:t>
      </w:r>
      <w:r w:rsidRPr="007330FC">
        <w:rPr>
          <w:lang w:val="en-GB" w:bidi="en-GB"/>
        </w:rPr>
        <w:t>.</w:t>
      </w:r>
    </w:p>
    <w:p w:rsidRPr="007330FC" w:rsidR="00E66984" w:rsidP="00A221A7" w:rsidRDefault="00E66984" w14:paraId="54099ED4" w14:textId="77777777">
      <w:pPr>
        <w:numPr>
          <w:ilvl w:val="0"/>
          <w:numId w:val="0"/>
        </w:numPr>
        <w:ind w:left="578"/>
      </w:pPr>
    </w:p>
    <w:p w:rsidRPr="007330FC" w:rsidR="00E66984" w:rsidP="006E44C8" w:rsidRDefault="00E66984" w14:paraId="101F1BA3" w14:textId="21B89167">
      <w:r w:rsidRPr="007330FC">
        <w:rPr>
          <w:lang w:val="en-GB" w:bidi="en-GB"/>
        </w:rPr>
        <w:t xml:space="preserve">Significant modifications to the demand facility affecting the characteristics referred to in </w:t>
      </w:r>
      <w:r w:rsidRPr="007330FC">
        <w:rPr>
          <w:b/>
          <w:lang w:val="en-GB" w:bidi="en-GB"/>
        </w:rPr>
        <w:t xml:space="preserve">Appendix 3 </w:t>
      </w:r>
      <w:r w:rsidRPr="007330FC">
        <w:rPr>
          <w:lang w:val="en-GB" w:bidi="en-GB"/>
        </w:rPr>
        <w:t xml:space="preserve">and </w:t>
      </w:r>
      <w:r w:rsidRPr="007330FC">
        <w:rPr>
          <w:b/>
          <w:lang w:val="en-GB" w:bidi="en-GB"/>
        </w:rPr>
        <w:t xml:space="preserve">Appendix 6 </w:t>
      </w:r>
      <w:r w:rsidRPr="007330FC">
        <w:rPr>
          <w:lang w:val="en-GB" w:bidi="en-GB"/>
        </w:rPr>
        <w:t xml:space="preserve">must be notified in writing to the </w:t>
      </w:r>
      <w:r w:rsidR="00B0056C">
        <w:rPr>
          <w:lang w:val="en-GB" w:bidi="en-GB"/>
        </w:rPr>
        <w:t>DSO</w:t>
      </w:r>
      <w:r w:rsidRPr="007330FC">
        <w:rPr>
          <w:lang w:val="en-GB" w:bidi="en-GB"/>
        </w:rPr>
        <w:t>. If the modifications have impaired the characteristics affecting personal safety</w:t>
      </w:r>
      <w:r w:rsidR="0067606A">
        <w:rPr>
          <w:lang w:val="en-GB" w:bidi="en-GB"/>
        </w:rPr>
        <w:t>,</w:t>
      </w:r>
      <w:r w:rsidRPr="007330FC">
        <w:rPr>
          <w:lang w:val="en-GB" w:bidi="en-GB"/>
        </w:rPr>
        <w:t xml:space="preserve"> security of supply</w:t>
      </w:r>
      <w:r w:rsidR="0067606A">
        <w:rPr>
          <w:lang w:val="en-GB" w:bidi="en-GB"/>
        </w:rPr>
        <w:t xml:space="preserve"> and/or </w:t>
      </w:r>
      <w:r w:rsidRPr="007330FC">
        <w:rPr>
          <w:lang w:val="en-GB" w:bidi="en-GB"/>
        </w:rPr>
        <w:t xml:space="preserve">system security, the </w:t>
      </w:r>
      <w:r w:rsidR="00B0056C">
        <w:rPr>
          <w:lang w:val="en-GB" w:bidi="en-GB"/>
        </w:rPr>
        <w:t>DSO</w:t>
      </w:r>
      <w:r w:rsidRPr="007330FC">
        <w:rPr>
          <w:lang w:val="en-GB" w:bidi="en-GB"/>
        </w:rPr>
        <w:t xml:space="preserve"> is entitled to disconnect the electrical connection to the demand facility immediat</w:t>
      </w:r>
      <w:r w:rsidR="000A67E4">
        <w:rPr>
          <w:lang w:val="en-GB" w:bidi="en-GB"/>
        </w:rPr>
        <w:t>ely</w:t>
      </w:r>
      <w:r w:rsidRPr="007330FC">
        <w:rPr>
          <w:lang w:val="en-GB" w:bidi="en-GB"/>
        </w:rPr>
        <w:t xml:space="preserve"> until the facility is compliant.</w:t>
      </w:r>
    </w:p>
    <w:p w:rsidRPr="007330FC" w:rsidR="00E66984" w:rsidP="00A221A7" w:rsidRDefault="00E66984" w14:paraId="1473EFEB" w14:textId="77777777">
      <w:pPr>
        <w:numPr>
          <w:ilvl w:val="0"/>
          <w:numId w:val="0"/>
        </w:numPr>
        <w:ind w:left="578"/>
      </w:pPr>
    </w:p>
    <w:p w:rsidRPr="007330FC" w:rsidR="00E66984" w:rsidP="006E44C8" w:rsidRDefault="00E66984" w14:paraId="3EC7CA96" w14:textId="6B4E1210">
      <w:r w:rsidRPr="007330FC">
        <w:rPr>
          <w:lang w:val="en-GB" w:bidi="en-GB"/>
        </w:rPr>
        <w:t xml:space="preserve">If the demand facility </w:t>
      </w:r>
      <w:r w:rsidR="000A67E4">
        <w:rPr>
          <w:lang w:val="en-GB" w:bidi="en-GB"/>
        </w:rPr>
        <w:t xml:space="preserve">experiences a </w:t>
      </w:r>
      <w:r w:rsidRPr="007330FC">
        <w:rPr>
          <w:lang w:val="en-GB" w:bidi="en-GB"/>
        </w:rPr>
        <w:t xml:space="preserve">breakdown </w:t>
      </w:r>
      <w:r w:rsidR="000A67E4">
        <w:rPr>
          <w:lang w:val="en-GB" w:bidi="en-GB"/>
        </w:rPr>
        <w:t xml:space="preserve">that </w:t>
      </w:r>
      <w:r w:rsidRPr="007330FC">
        <w:rPr>
          <w:lang w:val="en-GB" w:bidi="en-GB"/>
        </w:rPr>
        <w:t>is so severe that the Facility Owner decides not to rebuild the facility, the Agreement terminates from the date of the breakdown.</w:t>
      </w:r>
    </w:p>
    <w:p w:rsidRPr="007330FC" w:rsidR="00E66984" w:rsidP="00A221A7" w:rsidRDefault="00E66984" w14:paraId="11B3A986" w14:textId="77777777">
      <w:pPr>
        <w:numPr>
          <w:ilvl w:val="0"/>
          <w:numId w:val="0"/>
        </w:numPr>
        <w:ind w:left="578"/>
      </w:pPr>
    </w:p>
    <w:p w:rsidRPr="007330FC" w:rsidR="00E66984" w:rsidP="00586838" w:rsidRDefault="00E66984" w14:paraId="2537A097" w14:textId="76E6F519">
      <w:pPr>
        <w:pStyle w:val="Overskrift1"/>
        <w:ind w:left="284" w:hanging="568"/>
      </w:pPr>
      <w:r w:rsidRPr="007330FC">
        <w:rPr>
          <w:lang w:val="en-GB" w:bidi="en-GB"/>
        </w:rPr>
        <w:t xml:space="preserve"> </w:t>
      </w:r>
      <w:bookmarkStart w:name="_Toc44067840" w:id="14"/>
      <w:r w:rsidRPr="007330FC">
        <w:rPr>
          <w:lang w:val="en-GB" w:bidi="en-GB"/>
        </w:rPr>
        <w:t>Other conditions</w:t>
      </w:r>
      <w:bookmarkEnd w:id="14"/>
    </w:p>
    <w:p w:rsidRPr="007330FC" w:rsidR="00E66984" w:rsidP="006E44C8" w:rsidRDefault="000A67E4" w14:paraId="62188111" w14:textId="4F146B45">
      <w:bookmarkStart w:name="_Ref519503360" w:id="15"/>
      <w:r>
        <w:rPr>
          <w:lang w:val="en-GB" w:bidi="en-GB"/>
        </w:rPr>
        <w:t>I</w:t>
      </w:r>
      <w:r w:rsidRPr="007330FC" w:rsidR="00E66984">
        <w:rPr>
          <w:lang w:val="en-GB" w:bidi="en-GB"/>
        </w:rPr>
        <w:t xml:space="preserve">f the </w:t>
      </w:r>
      <w:r w:rsidR="00B0056C">
        <w:rPr>
          <w:lang w:val="en-GB" w:bidi="en-GB"/>
        </w:rPr>
        <w:t>DSO</w:t>
      </w:r>
      <w:r w:rsidRPr="007330FC" w:rsidR="00E66984">
        <w:rPr>
          <w:lang w:val="en-GB" w:bidi="en-GB"/>
        </w:rPr>
        <w:t xml:space="preserve"> ceases its operations</w:t>
      </w:r>
      <w:r>
        <w:rPr>
          <w:lang w:val="en-GB" w:bidi="en-GB"/>
        </w:rPr>
        <w:t>, for example</w:t>
      </w:r>
      <w:r w:rsidRPr="007330FC" w:rsidR="00E66984">
        <w:rPr>
          <w:lang w:val="en-GB" w:bidi="en-GB"/>
        </w:rPr>
        <w:t xml:space="preserve"> due to a merger with another </w:t>
      </w:r>
      <w:r w:rsidR="00B0056C">
        <w:rPr>
          <w:lang w:val="en-GB" w:bidi="en-GB"/>
        </w:rPr>
        <w:t>DSO</w:t>
      </w:r>
      <w:r w:rsidRPr="007330FC" w:rsidR="00E66984">
        <w:rPr>
          <w:lang w:val="en-GB" w:bidi="en-GB"/>
        </w:rPr>
        <w:t>, this Agreement will remain in force with the continuing company as a party to the Agreement.</w:t>
      </w:r>
      <w:bookmarkEnd w:id="15"/>
    </w:p>
    <w:p w:rsidRPr="007330FC" w:rsidR="000E2C18" w:rsidP="003A0944" w:rsidRDefault="000E2C18" w14:paraId="4E41293C" w14:textId="77777777">
      <w:pPr>
        <w:pStyle w:val="Ingenafstand"/>
      </w:pPr>
    </w:p>
    <w:p w:rsidRPr="007330FC" w:rsidR="000E2C18" w:rsidP="000E2C18" w:rsidRDefault="000E2C18" w14:paraId="7B4A5037" w14:textId="170AA2A8">
      <w:r w:rsidRPr="007330FC">
        <w:rPr>
          <w:lang w:val="en-GB" w:bidi="en-GB"/>
        </w:rPr>
        <w:t>The Agreement follows the demand facility and thus the legal owner of the facility at all times.</w:t>
      </w:r>
    </w:p>
    <w:p w:rsidRPr="007330FC" w:rsidR="00E66984" w:rsidP="00A221A7" w:rsidRDefault="00E66984" w14:paraId="611C5C90" w14:textId="77777777">
      <w:pPr>
        <w:numPr>
          <w:ilvl w:val="0"/>
          <w:numId w:val="0"/>
        </w:numPr>
        <w:ind w:left="578"/>
      </w:pPr>
    </w:p>
    <w:p w:rsidRPr="007330FC" w:rsidR="00E66984" w:rsidP="006E44C8" w:rsidRDefault="00E66984" w14:paraId="1817F607" w14:textId="6E0E791F">
      <w:bookmarkStart w:name="_Ref519503376" w:id="16"/>
      <w:r w:rsidRPr="007330FC">
        <w:rPr>
          <w:lang w:val="en-GB" w:bidi="en-GB"/>
        </w:rPr>
        <w:t>If the Facility Owner ceases its operations, for example as a result of a merger with another company, this Agreement will remain in force with the continuing company as a party to the Agreement.</w:t>
      </w:r>
      <w:bookmarkEnd w:id="16"/>
    </w:p>
    <w:p w:rsidRPr="007330FC" w:rsidR="00E66984" w:rsidP="00A221A7" w:rsidRDefault="00E66984" w14:paraId="6A462BBA" w14:textId="77777777">
      <w:pPr>
        <w:numPr>
          <w:ilvl w:val="0"/>
          <w:numId w:val="0"/>
        </w:numPr>
        <w:ind w:left="578"/>
      </w:pPr>
    </w:p>
    <w:p w:rsidRPr="007330FC" w:rsidR="00E66984" w:rsidP="006E44C8" w:rsidRDefault="00E66984" w14:paraId="21087FD3" w14:textId="4355E23D">
      <w:r w:rsidRPr="007330FC">
        <w:rPr>
          <w:lang w:val="en-GB" w:bidi="en-GB"/>
        </w:rPr>
        <w:t xml:space="preserve">A change of debtor is accepted pursuant to </w:t>
      </w:r>
      <w:r w:rsidRPr="007330FC">
        <w:rPr>
          <w:b/>
          <w:lang w:val="en-GB" w:bidi="en-GB"/>
        </w:rPr>
        <w:t>clauses</w:t>
      </w:r>
      <w:r w:rsidRPr="007330FC">
        <w:rPr>
          <w:lang w:val="en-GB" w:bidi="en-GB"/>
        </w:rPr>
        <w:t xml:space="preserve"> </w:t>
      </w:r>
      <w:r w:rsidRPr="007330FC" w:rsidR="00505DBC">
        <w:rPr>
          <w:b/>
          <w:lang w:val="en-GB" w:bidi="en-GB"/>
        </w:rPr>
        <w:fldChar w:fldCharType="begin"/>
      </w:r>
      <w:r w:rsidRPr="007330FC" w:rsidR="00505DBC">
        <w:rPr>
          <w:b/>
          <w:lang w:val="en-GB" w:bidi="en-GB"/>
        </w:rPr>
        <w:instrText xml:space="preserve"> REF _Ref519503360 \r \h </w:instrText>
      </w:r>
      <w:r w:rsidRPr="007330FC" w:rsidR="00E60105">
        <w:rPr>
          <w:b/>
          <w:lang w:val="en-GB" w:bidi="en-GB"/>
        </w:rPr>
        <w:instrText xml:space="preserve"> \* MERGEFORMAT </w:instrText>
      </w:r>
      <w:r w:rsidRPr="007330FC" w:rsidR="00505DBC">
        <w:rPr>
          <w:b/>
          <w:lang w:val="en-GB" w:bidi="en-GB"/>
        </w:rPr>
      </w:r>
      <w:r w:rsidRPr="007330FC" w:rsidR="00505DBC">
        <w:rPr>
          <w:b/>
          <w:lang w:val="en-GB" w:bidi="en-GB"/>
        </w:rPr>
        <w:fldChar w:fldCharType="separate"/>
      </w:r>
      <w:r w:rsidR="00075093">
        <w:rPr>
          <w:b/>
          <w:lang w:val="en-GB" w:bidi="en-GB"/>
        </w:rPr>
        <w:t>11.1</w:t>
      </w:r>
      <w:r w:rsidRPr="007330FC" w:rsidR="00505DBC">
        <w:rPr>
          <w:b/>
          <w:lang w:val="en-GB" w:bidi="en-GB"/>
        </w:rPr>
        <w:fldChar w:fldCharType="end"/>
      </w:r>
      <w:r w:rsidRPr="007330FC">
        <w:rPr>
          <w:lang w:val="en-GB" w:bidi="en-GB"/>
        </w:rPr>
        <w:t xml:space="preserve"> and </w:t>
      </w:r>
      <w:r w:rsidRPr="007330FC" w:rsidR="00505DBC">
        <w:rPr>
          <w:b/>
          <w:lang w:val="en-GB" w:bidi="en-GB"/>
        </w:rPr>
        <w:fldChar w:fldCharType="begin"/>
      </w:r>
      <w:r w:rsidRPr="007330FC" w:rsidR="00505DBC">
        <w:rPr>
          <w:b/>
          <w:lang w:val="en-GB" w:bidi="en-GB"/>
        </w:rPr>
        <w:instrText xml:space="preserve"> REF _Ref519503376 \r \h </w:instrText>
      </w:r>
      <w:r w:rsidRPr="007330FC" w:rsidR="00E60105">
        <w:rPr>
          <w:b/>
          <w:lang w:val="en-GB" w:bidi="en-GB"/>
        </w:rPr>
        <w:instrText xml:space="preserve"> \* MERGEFORMAT </w:instrText>
      </w:r>
      <w:r w:rsidRPr="007330FC" w:rsidR="00505DBC">
        <w:rPr>
          <w:b/>
          <w:lang w:val="en-GB" w:bidi="en-GB"/>
        </w:rPr>
      </w:r>
      <w:r w:rsidRPr="007330FC" w:rsidR="00505DBC">
        <w:rPr>
          <w:b/>
          <w:lang w:val="en-GB" w:bidi="en-GB"/>
        </w:rPr>
        <w:fldChar w:fldCharType="separate"/>
      </w:r>
      <w:r w:rsidR="00075093">
        <w:rPr>
          <w:b/>
          <w:lang w:val="en-GB" w:bidi="en-GB"/>
        </w:rPr>
        <w:t>11.3</w:t>
      </w:r>
      <w:r w:rsidRPr="007330FC" w:rsidR="00505DBC">
        <w:rPr>
          <w:b/>
          <w:lang w:val="en-GB" w:bidi="en-GB"/>
        </w:rPr>
        <w:fldChar w:fldCharType="end"/>
      </w:r>
      <w:r w:rsidRPr="007330FC">
        <w:rPr>
          <w:lang w:val="en-GB" w:bidi="en-GB"/>
        </w:rPr>
        <w:t xml:space="preserve"> in connection with, for example, a merger, and this does not constitute breach or a change warranting renegotiation of the Agreement.</w:t>
      </w:r>
    </w:p>
    <w:p w:rsidRPr="007330FC" w:rsidR="00B324FC" w:rsidP="00B324FC" w:rsidRDefault="00B324FC" w14:paraId="1A325128" w14:textId="176026CD">
      <w:pPr>
        <w:pStyle w:val="Ingenafstand"/>
      </w:pPr>
    </w:p>
    <w:p w:rsidRPr="007330FC" w:rsidR="00E66984" w:rsidP="00586838" w:rsidRDefault="00E66984" w14:paraId="06AC0ECF" w14:textId="1555B5F2">
      <w:pPr>
        <w:pStyle w:val="Overskrift1"/>
        <w:ind w:left="284" w:hanging="568"/>
      </w:pPr>
      <w:bookmarkStart w:name="_Ref519502569" w:id="17"/>
      <w:r w:rsidRPr="007330FC">
        <w:rPr>
          <w:lang w:val="en-GB" w:bidi="en-GB"/>
        </w:rPr>
        <w:t xml:space="preserve"> </w:t>
      </w:r>
      <w:bookmarkStart w:name="_Toc44067841" w:id="18"/>
      <w:r w:rsidRPr="007330FC">
        <w:rPr>
          <w:lang w:val="en-GB" w:bidi="en-GB"/>
        </w:rPr>
        <w:t>Disputes</w:t>
      </w:r>
      <w:bookmarkEnd w:id="17"/>
      <w:bookmarkEnd w:id="18"/>
    </w:p>
    <w:p w:rsidRPr="007330FC" w:rsidR="00C15E2F" w:rsidP="006E44C8" w:rsidRDefault="00C15E2F" w14:paraId="258DED41" w14:textId="786AA382">
      <w:r w:rsidRPr="007330FC">
        <w:rPr>
          <w:lang w:val="en-GB" w:bidi="en-GB"/>
        </w:rPr>
        <w:t xml:space="preserve">Complaints about the terms and conditions set out in this Agreement can be addressed to the Danish Utility Regulator.  </w:t>
      </w:r>
    </w:p>
    <w:p w:rsidRPr="007330FC" w:rsidR="00EC401B" w:rsidP="00D96CA4" w:rsidRDefault="00EC401B" w14:paraId="7A1BDCEA" w14:textId="77777777">
      <w:pPr>
        <w:pStyle w:val="Ingenafstand"/>
      </w:pPr>
    </w:p>
    <w:p w:rsidRPr="007330FC" w:rsidR="00E66984" w:rsidP="006E44C8" w:rsidRDefault="00E66984" w14:paraId="11C0C84F" w14:textId="4F8A7272">
      <w:r w:rsidRPr="007330FC">
        <w:rPr>
          <w:lang w:val="en-GB" w:bidi="en-GB"/>
        </w:rPr>
        <w:t>Any dispute between the parties is settled by the courts of general jurisdiction. Disputes must be settled in accordance with Danish law.</w:t>
      </w:r>
    </w:p>
    <w:p w:rsidRPr="007330FC" w:rsidR="00E66984" w:rsidP="00A221A7" w:rsidRDefault="00E66984" w14:paraId="2BD13F84" w14:textId="77777777">
      <w:pPr>
        <w:numPr>
          <w:ilvl w:val="0"/>
          <w:numId w:val="0"/>
        </w:numPr>
        <w:ind w:left="578"/>
        <w:rPr>
          <w:sz w:val="24"/>
        </w:rPr>
      </w:pPr>
    </w:p>
    <w:p w:rsidRPr="007330FC" w:rsidR="00E66984" w:rsidP="00586838" w:rsidRDefault="00E66984" w14:paraId="157E6301" w14:textId="0FA2EDBD">
      <w:pPr>
        <w:pStyle w:val="Overskrift1"/>
        <w:ind w:left="284" w:hanging="568"/>
      </w:pPr>
      <w:r w:rsidRPr="007330FC">
        <w:rPr>
          <w:lang w:val="en-GB" w:bidi="en-GB"/>
        </w:rPr>
        <w:t xml:space="preserve"> </w:t>
      </w:r>
      <w:bookmarkStart w:name="_Toc44067842" w:id="19"/>
      <w:r w:rsidRPr="007330FC">
        <w:rPr>
          <w:lang w:val="en-GB" w:bidi="en-GB"/>
        </w:rPr>
        <w:t>Copies</w:t>
      </w:r>
      <w:bookmarkEnd w:id="19"/>
    </w:p>
    <w:p w:rsidRPr="007330FC" w:rsidR="00580232" w:rsidP="008A1C2D" w:rsidRDefault="00E66984" w14:paraId="572B10C1" w14:textId="0D55530A">
      <w:r w:rsidRPr="007330FC">
        <w:rPr>
          <w:lang w:val="en-GB" w:bidi="en-GB"/>
        </w:rPr>
        <w:t>This Agreement is drawn up in two identical and signed copies, one for each of the signatories.</w:t>
      </w:r>
    </w:p>
    <w:p w:rsidRPr="007330FC" w:rsidR="00580232" w:rsidP="00571259" w:rsidRDefault="00580232" w14:paraId="186C2F54" w14:textId="77777777">
      <w:pPr>
        <w:pStyle w:val="Ingenafstand"/>
        <w:ind w:left="0"/>
      </w:pPr>
    </w:p>
    <w:p w:rsidRPr="007330FC" w:rsidR="00126003" w:rsidRDefault="00126003" w14:paraId="6859B1E8" w14:textId="68767C6C">
      <w:pPr>
        <w:widowControl/>
        <w:numPr>
          <w:ilvl w:val="0"/>
          <w:numId w:val="0"/>
        </w:numPr>
        <w:tabs>
          <w:tab w:val="clear" w:pos="-850"/>
        </w:tabs>
        <w:spacing w:after="160" w:line="259" w:lineRule="auto"/>
        <w:contextualSpacing w:val="0"/>
      </w:pPr>
    </w:p>
    <w:p w:rsidRPr="007330FC" w:rsidR="003F6804" w:rsidP="00571259" w:rsidRDefault="000256C2" w14:paraId="68FD1C92" w14:textId="213E268D">
      <w:pPr>
        <w:numPr>
          <w:ilvl w:val="0"/>
          <w:numId w:val="0"/>
        </w:numPr>
        <w:ind w:left="578" w:hanging="578"/>
        <w:rPr>
          <w:rFonts w:asciiTheme="minorHAnsi" w:hAnsiTheme="minorHAnsi"/>
        </w:rPr>
      </w:pPr>
      <w:r w:rsidRPr="007330FC">
        <w:rPr>
          <w:lang w:val="en-GB" w:bidi="en-GB"/>
        </w:rPr>
        <w:t>Parties’ signature</w:t>
      </w:r>
    </w:p>
    <w:p w:rsidRPr="007330FC" w:rsidR="009B4858" w:rsidP="009B4858" w:rsidRDefault="009B4858" w14:paraId="4DD7A9D9" w14:textId="77777777">
      <w:pPr>
        <w:numPr>
          <w:ilvl w:val="0"/>
          <w:numId w:val="0"/>
        </w:numPr>
        <w:ind w:left="567"/>
        <w:rPr>
          <w:rFonts w:cs="Arial"/>
        </w:rPr>
      </w:pPr>
    </w:p>
    <w:p w:rsidRPr="007330FC" w:rsidR="009B4858" w:rsidP="009B4858" w:rsidRDefault="009B4858" w14:paraId="659BBC8D" w14:textId="77777777">
      <w:pPr>
        <w:numPr>
          <w:ilvl w:val="0"/>
          <w:numId w:val="0"/>
        </w:numPr>
        <w:ind w:left="567"/>
        <w:rPr>
          <w:rFonts w:cs="Arial"/>
        </w:rPr>
      </w:pPr>
    </w:p>
    <w:p w:rsidRPr="007330FC" w:rsidR="009B4858" w:rsidP="009B4858" w:rsidRDefault="009B4858" w14:paraId="229D5B72" w14:textId="77777777">
      <w:pPr>
        <w:numPr>
          <w:ilvl w:val="0"/>
          <w:numId w:val="0"/>
        </w:numPr>
        <w:ind w:left="578"/>
        <w:rPr>
          <w:rFonts w:cs="Arial"/>
          <w:sz w:val="24"/>
        </w:rPr>
      </w:pPr>
    </w:p>
    <w:p w:rsidR="009B4858" w:rsidP="009B4858" w:rsidRDefault="007F0EC2" w14:paraId="09C9DF50" w14:textId="4C36EE0F">
      <w:pPr>
        <w:numPr>
          <w:ilvl w:val="0"/>
          <w:numId w:val="0"/>
        </w:numPr>
        <w:rPr>
          <w:rFonts w:cs="Arial"/>
          <w:lang w:val="en-GB" w:bidi="en-GB"/>
        </w:rPr>
      </w:pPr>
      <w:r>
        <w:rPr>
          <w:rFonts w:cs="Arial"/>
          <w:lang w:val="en-GB" w:bidi="en-GB"/>
        </w:rPr>
        <w:t>Location:</w:t>
      </w:r>
      <w:r>
        <w:rPr>
          <w:rFonts w:cs="Arial"/>
          <w:lang w:val="en-GB" w:bidi="en-GB"/>
        </w:rPr>
        <w:tab/>
      </w:r>
      <w:r w:rsidRPr="007330FC" w:rsidR="009B4858">
        <w:rPr>
          <w:rFonts w:cs="Arial"/>
          <w:lang w:val="en-GB" w:bidi="en-GB"/>
        </w:rPr>
        <w:t xml:space="preserve"> __________________________</w:t>
      </w:r>
    </w:p>
    <w:p w:rsidR="007F0EC2" w:rsidP="007F0EC2" w:rsidRDefault="007F0EC2" w14:paraId="098FC312" w14:textId="77777777">
      <w:pPr>
        <w:numPr>
          <w:ilvl w:val="0"/>
          <w:numId w:val="0"/>
        </w:numPr>
        <w:rPr>
          <w:rFonts w:cs="Arial"/>
          <w:lang w:val="en-GB" w:bidi="en-GB"/>
        </w:rPr>
      </w:pPr>
      <w:r>
        <w:rPr>
          <w:lang w:val="en-GB" w:bidi="en-GB"/>
        </w:rPr>
        <w:t xml:space="preserve">Date: </w:t>
      </w:r>
      <w:r>
        <w:rPr>
          <w:lang w:val="en-GB" w:bidi="en-GB"/>
        </w:rPr>
        <w:tab/>
      </w:r>
      <w:r w:rsidRPr="007330FC">
        <w:rPr>
          <w:rFonts w:cs="Arial"/>
          <w:lang w:val="en-GB" w:bidi="en-GB"/>
        </w:rPr>
        <w:t>__________________________</w:t>
      </w:r>
    </w:p>
    <w:p w:rsidRPr="00A579BD" w:rsidR="007F0EC2" w:rsidP="00A579BD" w:rsidRDefault="007F0EC2" w14:paraId="1AE56B10" w14:textId="6B3B4721">
      <w:pPr>
        <w:pStyle w:val="Ingenafstand"/>
        <w:ind w:left="0"/>
        <w:rPr>
          <w:lang w:val="en-GB" w:bidi="en-GB"/>
        </w:rPr>
      </w:pPr>
    </w:p>
    <w:p w:rsidRPr="007330FC" w:rsidR="009B4858" w:rsidP="009B4858" w:rsidRDefault="009B4858" w14:paraId="2088AAB3" w14:textId="77777777">
      <w:pPr>
        <w:numPr>
          <w:ilvl w:val="0"/>
          <w:numId w:val="0"/>
        </w:numPr>
        <w:ind w:left="578"/>
        <w:rPr>
          <w:rFonts w:cs="Arial"/>
          <w:i/>
          <w:sz w:val="24"/>
        </w:rPr>
      </w:pPr>
    </w:p>
    <w:tbl>
      <w:tblPr>
        <w:tblW w:w="0" w:type="auto"/>
        <w:tblLayout w:type="fixed"/>
        <w:tblCellMar>
          <w:left w:w="71" w:type="dxa"/>
          <w:right w:w="71" w:type="dxa"/>
        </w:tblCellMar>
        <w:tblLook w:val="0000" w:firstRow="0" w:lastRow="0" w:firstColumn="0" w:lastColumn="0" w:noHBand="0" w:noVBand="0"/>
      </w:tblPr>
      <w:tblGrid>
        <w:gridCol w:w="3969"/>
        <w:gridCol w:w="780"/>
        <w:gridCol w:w="3969"/>
      </w:tblGrid>
      <w:tr w:rsidRPr="007330FC" w:rsidR="009B4858" w:rsidTr="00571259" w14:paraId="484822D2" w14:textId="77777777">
        <w:tc>
          <w:tcPr>
            <w:tcW w:w="3969" w:type="dxa"/>
            <w:tcBorders>
              <w:bottom w:val="single" w:color="auto" w:sz="4" w:space="0"/>
            </w:tcBorders>
          </w:tcPr>
          <w:p w:rsidRPr="007330FC" w:rsidR="009B4858" w:rsidP="001B041C" w:rsidRDefault="009B4858" w14:paraId="36095611" w14:textId="77777777">
            <w:pPr>
              <w:numPr>
                <w:ilvl w:val="0"/>
                <w:numId w:val="0"/>
              </w:numPr>
              <w:ind w:left="578"/>
              <w:rPr>
                <w:rFonts w:cs="Arial"/>
                <w:i/>
                <w:sz w:val="24"/>
              </w:rPr>
            </w:pPr>
          </w:p>
        </w:tc>
        <w:tc>
          <w:tcPr>
            <w:tcW w:w="780" w:type="dxa"/>
          </w:tcPr>
          <w:p w:rsidRPr="007330FC" w:rsidR="009B4858" w:rsidP="001B041C" w:rsidRDefault="009B4858" w14:paraId="1F379721" w14:textId="77777777">
            <w:pPr>
              <w:numPr>
                <w:ilvl w:val="0"/>
                <w:numId w:val="0"/>
              </w:numPr>
              <w:ind w:left="578"/>
              <w:rPr>
                <w:rFonts w:cs="Arial"/>
                <w:i/>
                <w:sz w:val="24"/>
              </w:rPr>
            </w:pPr>
          </w:p>
        </w:tc>
        <w:tc>
          <w:tcPr>
            <w:tcW w:w="3969" w:type="dxa"/>
            <w:tcBorders>
              <w:bottom w:val="single" w:color="auto" w:sz="4" w:space="0"/>
            </w:tcBorders>
          </w:tcPr>
          <w:p w:rsidRPr="007330FC" w:rsidR="009B4858" w:rsidP="001B041C" w:rsidRDefault="009B4858" w14:paraId="32AD955F" w14:textId="77777777">
            <w:pPr>
              <w:numPr>
                <w:ilvl w:val="0"/>
                <w:numId w:val="0"/>
              </w:numPr>
              <w:ind w:left="578"/>
              <w:rPr>
                <w:rFonts w:cs="Arial"/>
                <w:i/>
                <w:sz w:val="24"/>
              </w:rPr>
            </w:pPr>
          </w:p>
        </w:tc>
      </w:tr>
      <w:tr w:rsidRPr="008C4BD1" w:rsidR="009B4858" w:rsidTr="00571259" w14:paraId="21A83239" w14:textId="77777777">
        <w:tc>
          <w:tcPr>
            <w:tcW w:w="3969" w:type="dxa"/>
            <w:tcBorders>
              <w:top w:val="single" w:color="auto" w:sz="4" w:space="0"/>
            </w:tcBorders>
          </w:tcPr>
          <w:p w:rsidRPr="007330FC" w:rsidR="009B4858" w:rsidP="001B041C" w:rsidRDefault="009B4858" w14:paraId="126CACCE" w14:textId="34D6BD98">
            <w:pPr>
              <w:numPr>
                <w:ilvl w:val="0"/>
                <w:numId w:val="0"/>
              </w:numPr>
              <w:ind w:left="578" w:hanging="578"/>
              <w:rPr>
                <w:rFonts w:cs="Arial"/>
                <w:i/>
              </w:rPr>
            </w:pPr>
            <w:r w:rsidRPr="007330FC">
              <w:rPr>
                <w:rFonts w:cs="Arial"/>
                <w:i/>
                <w:lang w:val="en-GB" w:bidi="en-GB"/>
              </w:rPr>
              <w:t>Facility Owner</w:t>
            </w:r>
          </w:p>
        </w:tc>
        <w:tc>
          <w:tcPr>
            <w:tcW w:w="780" w:type="dxa"/>
          </w:tcPr>
          <w:p w:rsidRPr="007330FC" w:rsidR="009B4858" w:rsidP="001B041C" w:rsidRDefault="009B4858" w14:paraId="6E2E1E7E" w14:textId="77777777">
            <w:pPr>
              <w:numPr>
                <w:ilvl w:val="0"/>
                <w:numId w:val="0"/>
              </w:numPr>
              <w:rPr>
                <w:rFonts w:cs="Arial"/>
                <w:i/>
              </w:rPr>
            </w:pPr>
          </w:p>
        </w:tc>
        <w:tc>
          <w:tcPr>
            <w:tcW w:w="3969" w:type="dxa"/>
            <w:tcBorders>
              <w:top w:val="single" w:color="auto" w:sz="4" w:space="0"/>
            </w:tcBorders>
          </w:tcPr>
          <w:p w:rsidRPr="008C4BD1" w:rsidR="009B4858" w:rsidP="001B041C" w:rsidRDefault="00B0056C" w14:paraId="7A54C8CC" w14:textId="72578073">
            <w:pPr>
              <w:numPr>
                <w:ilvl w:val="0"/>
                <w:numId w:val="0"/>
              </w:numPr>
              <w:ind w:left="578" w:hanging="578"/>
              <w:rPr>
                <w:rFonts w:cs="Arial"/>
                <w:i/>
              </w:rPr>
            </w:pPr>
            <w:r>
              <w:rPr>
                <w:rFonts w:cs="Arial"/>
                <w:i/>
                <w:lang w:val="en-GB" w:bidi="en-GB"/>
              </w:rPr>
              <w:t>DSO</w:t>
            </w:r>
          </w:p>
        </w:tc>
      </w:tr>
    </w:tbl>
    <w:p w:rsidRPr="00822947" w:rsidR="009B4858" w:rsidP="00571259" w:rsidRDefault="009B4858" w14:paraId="53FBD6ED" w14:textId="77777777">
      <w:pPr>
        <w:widowControl/>
        <w:numPr>
          <w:ilvl w:val="0"/>
          <w:numId w:val="0"/>
        </w:numPr>
        <w:tabs>
          <w:tab w:val="clear" w:pos="-850"/>
        </w:tabs>
        <w:spacing w:after="160" w:line="259" w:lineRule="auto"/>
        <w:contextualSpacing w:val="0"/>
      </w:pPr>
    </w:p>
    <w:sectPr w:rsidRPr="00822947" w:rsidR="009B4858" w:rsidSect="005D4B26">
      <w:headerReference w:type="default" r:id="rId8"/>
      <w:footerReference w:type="default" r:id="rId9"/>
      <w:headerReference w:type="first" r:id="rId10"/>
      <w:footerReference w:type="first" r:id="rId11"/>
      <w:pgSz w:w="11906" w:h="16838" w:code="9"/>
      <w:pgMar w:top="1701" w:right="1134" w:bottom="170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AF382" w14:textId="77777777" w:rsidR="00B0056C" w:rsidRDefault="00B0056C" w:rsidP="00E40C66">
      <w:pPr>
        <w:spacing w:line="240" w:lineRule="auto"/>
      </w:pPr>
      <w:r>
        <w:separator/>
      </w:r>
    </w:p>
  </w:endnote>
  <w:endnote w:type="continuationSeparator" w:id="0">
    <w:p w14:paraId="3C272C29" w14:textId="77777777" w:rsidR="00B0056C" w:rsidRDefault="00B0056C" w:rsidP="00E40C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056C" w:rsidP="002C5FEA" w:rsidRDefault="00B0056C" w14:paraId="0055B61E" w14:textId="55D6AA7E">
    <w:pPr>
      <w:pStyle w:val="Sidefod"/>
      <w:numPr>
        <w:ilvl w:val="0"/>
        <w:numId w:val="0"/>
      </w:numPr>
    </w:pPr>
    <w:r>
      <w:rPr>
        <w:lang w:val="en-GB" w:bidi="en-GB"/>
      </w:rPr>
      <w:t>01-12-2019</w:t>
    </w:r>
    <w:r>
      <w:rPr>
        <w:lang w:val="en-GB" w:bidi="en-GB"/>
      </w:rPr>
      <w:tab/>
    </w:r>
    <w:r>
      <w:rPr>
        <w:lang w:val="en-GB" w:bidi="en-GB"/>
      </w:rPr>
      <w:tab/>
    </w:r>
    <w:r w:rsidRPr="002C5FEA">
      <w:rPr>
        <w:noProof/>
        <w:lang w:val="en-GB" w:bidi="en-GB"/>
      </w:rPr>
      <w:drawing>
        <wp:inline distT="0" distB="0" distL="0" distR="0" wp14:anchorId="25F4E632" wp14:editId="3F2FE089">
          <wp:extent cx="1519200" cy="432000"/>
          <wp:effectExtent l="0" t="0" r="5080" b="6350"/>
          <wp:docPr id="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19200" cy="432000"/>
                  </a:xfrm>
                  <a:prstGeom prst="rect">
                    <a:avLst/>
                  </a:prstGeom>
                </pic:spPr>
              </pic:pic>
            </a:graphicData>
          </a:graphic>
        </wp:inline>
      </w:drawing>
    </w: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056C" w:rsidP="004E29AE" w:rsidRDefault="00B0056C" w14:paraId="4410C16C" w14:textId="77777777">
    <w:pPr>
      <w:pStyle w:val="Sidefod"/>
      <w:numPr>
        <w:ilvl w:val="0"/>
        <w:numId w:val="0"/>
      </w:numPr>
    </w:pPr>
    <w:r>
      <w:rPr>
        <w:lang w:val="en-GB" w:bidi="en-GB"/>
      </w:rPr>
      <w:tab/>
    </w:r>
    <w:r>
      <w:rPr>
        <w:lang w:val="en-GB" w:bidi="en-GB"/>
      </w:rPr>
      <w:tab/>
    </w:r>
    <w:r>
      <w:rPr>
        <w:noProof/>
        <w:lang w:val="en-GB" w:bidi="en-GB"/>
      </w:rPr>
      <w:drawing>
        <wp:inline distT="0" distB="0" distL="0" distR="0" wp14:anchorId="2AC5AF7A" wp14:editId="7CE9AEA3">
          <wp:extent cx="1519200" cy="432000"/>
          <wp:effectExtent l="0" t="0" r="5080" b="6350"/>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19200" cy="432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75499" w14:textId="77777777" w:rsidR="00B0056C" w:rsidRDefault="00B0056C" w:rsidP="00E40C66">
      <w:pPr>
        <w:spacing w:line="240" w:lineRule="auto"/>
      </w:pPr>
      <w:r>
        <w:separator/>
      </w:r>
    </w:p>
  </w:footnote>
  <w:footnote w:type="continuationSeparator" w:id="0">
    <w:p w14:paraId="55ED1677" w14:textId="77777777" w:rsidR="00B0056C" w:rsidRDefault="00B0056C" w:rsidP="00E40C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D781C" w:rsidR="00B0056C" w:rsidP="002140BF" w:rsidRDefault="00B0056C" w14:paraId="11591332" w14:textId="0BF48AFF">
    <w:pPr>
      <w:numPr>
        <w:ilvl w:val="0"/>
        <w:numId w:val="0"/>
      </w:numPr>
      <w:jc w:val="right"/>
    </w:pPr>
    <w:r>
      <w:rPr>
        <w:lang w:val="en-GB" w:bidi="en-GB"/>
      </w:rPr>
      <w:t xml:space="preserve">Page </w:t>
    </w:r>
    <w:sdt>
      <w:sdtPr>
        <w:id w:val="1303193727"/>
        <w:docPartObj>
          <w:docPartGallery w:val="Page Numbers (Top of Page)"/>
          <w:docPartUnique/>
        </w:docPartObj>
      </w:sdtPr>
      <w:sdtEndPr/>
      <w:sdtContent>
        <w:r w:rsidRPr="00DD781C">
          <w:rPr>
            <w:lang w:val="en-GB" w:bidi="en-GB"/>
          </w:rPr>
          <w:fldChar w:fldCharType="begin"/>
        </w:r>
        <w:r w:rsidRPr="00DD781C">
          <w:rPr>
            <w:lang w:val="en-GB" w:bidi="en-GB"/>
          </w:rPr>
          <w:instrText>PAGE   \* MERGEFORMAT</w:instrText>
        </w:r>
        <w:r w:rsidRPr="00DD781C">
          <w:rPr>
            <w:lang w:val="en-GB" w:bidi="en-GB"/>
          </w:rPr>
          <w:fldChar w:fldCharType="separate"/>
        </w:r>
        <w:r>
          <w:rPr>
            <w:noProof/>
            <w:lang w:val="en-GB" w:bidi="en-GB"/>
          </w:rPr>
          <w:t>14</w:t>
        </w:r>
        <w:r w:rsidRPr="00DD781C">
          <w:rPr>
            <w:lang w:val="en-GB" w:bidi="en-GB"/>
          </w:rPr>
          <w:fldChar w:fldCharType="end"/>
        </w:r>
      </w:sdtContent>
    </w:sdt>
  </w:p>
  <w:p w:rsidRPr="000E2FAA" w:rsidR="00B0056C" w:rsidP="000E2FAA" w:rsidRDefault="00B0056C" w14:paraId="21422348" w14:textId="77777777">
    <w:pPr>
      <w:pStyle w:val="Sidehoved"/>
      <w:numPr>
        <w:ilvl w:val="0"/>
        <w:numId w:val="0"/>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6E2B0B" w:rsidR="00B0056C" w:rsidP="006A250E" w:rsidRDefault="00B0056C" w14:paraId="210C2677" w14:textId="21E7B52A">
    <w:pPr>
      <w:pStyle w:val="Ingenafstand"/>
      <w:ind w:left="0"/>
    </w:pPr>
    <w:r w:rsidRPr="006E2B0B">
      <w:rPr>
        <w:lang w:val="en-GB" w:bidi="en-GB"/>
      </w:rPr>
      <w:t xml:space="preserve">This grid connection agreement has been </w:t>
    </w:r>
    <w:r>
      <w:rPr>
        <w:lang w:val="en-GB" w:bidi="en-GB"/>
      </w:rPr>
      <w:t xml:space="preserve">provisionally submitted </w:t>
    </w:r>
    <w:r w:rsidRPr="006E2B0B">
      <w:rPr>
        <w:lang w:val="en-GB" w:bidi="en-GB"/>
      </w:rPr>
      <w:t xml:space="preserve">to the Danish Utility Regulator on 1 December 2019 pursuant to section 73b of the Danish Electricity Supply Act and considered by the Danish Utility Regulator on 20 March 2020. </w:t>
    </w:r>
  </w:p>
  <w:p w:rsidR="00B0056C" w:rsidP="00E40C66" w:rsidRDefault="00B0056C" w14:paraId="3F8F7994" w14:textId="77777777">
    <w:pPr>
      <w:pStyle w:val="Sidehoved"/>
      <w:numPr>
        <w:ilvl w:val="0"/>
        <w:numId w:val="0"/>
      </w:numPr>
      <w:ind w:left="578" w:hanging="57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D987A0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9A00833C"/>
    <w:lvl w:ilvl="0">
      <w:start w:val="1"/>
      <w:numFmt w:val="upperLetter"/>
      <w:suff w:val="space"/>
      <w:lvlText w:val="Appendix %1:"/>
      <w:lvlJc w:val="left"/>
      <w:pPr>
        <w:ind w:left="567" w:hanging="567"/>
      </w:pPr>
      <w:rPr>
        <w:rFonts w:hint="default"/>
        <w:b/>
        <w:i w:val="0"/>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567" w:hanging="567"/>
      </w:pPr>
      <w:rPr>
        <w:rFonts w:hint="default"/>
      </w:rPr>
    </w:lvl>
    <w:lvl w:ilvl="3">
      <w:start w:val="1"/>
      <w:numFmt w:val="decimal"/>
      <w:lvlText w:val="%1.%2.%3.%4."/>
      <w:lvlJc w:val="left"/>
      <w:pPr>
        <w:tabs>
          <w:tab w:val="num" w:pos="0"/>
        </w:tabs>
        <w:ind w:left="2268" w:hanging="2268"/>
      </w:pPr>
      <w:rPr>
        <w:rFonts w:hint="default"/>
      </w:rPr>
    </w:lvl>
    <w:lvl w:ilvl="4">
      <w:start w:val="1"/>
      <w:numFmt w:val="decimal"/>
      <w:lvlText w:val="%2.%3.%4.%5."/>
      <w:lvlJc w:val="left"/>
      <w:pPr>
        <w:tabs>
          <w:tab w:val="num" w:pos="0"/>
        </w:tabs>
        <w:ind w:left="2835" w:hanging="2835"/>
      </w:pPr>
      <w:rPr>
        <w:rFonts w:hint="default"/>
      </w:rPr>
    </w:lvl>
    <w:lvl w:ilvl="5">
      <w:start w:val="1"/>
      <w:numFmt w:val="decimal"/>
      <w:lvlText w:val="%1.%2.%3.%4.%5.%6."/>
      <w:lvlJc w:val="left"/>
      <w:pPr>
        <w:tabs>
          <w:tab w:val="num" w:pos="0"/>
        </w:tabs>
        <w:ind w:left="3402" w:hanging="567"/>
      </w:pPr>
      <w:rPr>
        <w:rFonts w:hint="default"/>
      </w:rPr>
    </w:lvl>
    <w:lvl w:ilvl="6">
      <w:start w:val="1"/>
      <w:numFmt w:val="decimal"/>
      <w:lvlText w:val="%1.%2.%3.%4.%5.%6.%7."/>
      <w:lvlJc w:val="left"/>
      <w:pPr>
        <w:tabs>
          <w:tab w:val="num" w:pos="0"/>
        </w:tabs>
        <w:ind w:left="3969" w:hanging="567"/>
      </w:pPr>
      <w:rPr>
        <w:rFonts w:hint="default"/>
      </w:rPr>
    </w:lvl>
    <w:lvl w:ilvl="7">
      <w:start w:val="1"/>
      <w:numFmt w:val="decimal"/>
      <w:lvlText w:val="%1.%2.%3.%4.%5.%6.%7.%8."/>
      <w:lvlJc w:val="left"/>
      <w:pPr>
        <w:tabs>
          <w:tab w:val="num" w:pos="0"/>
        </w:tabs>
        <w:ind w:left="4535" w:hanging="566"/>
      </w:pPr>
      <w:rPr>
        <w:rFonts w:hint="default"/>
      </w:rPr>
    </w:lvl>
    <w:lvl w:ilvl="8">
      <w:start w:val="1"/>
      <w:numFmt w:val="decimal"/>
      <w:lvlText w:val="%1.%2.%3.%4.%5.%6.%7.%8.%9."/>
      <w:lvlJc w:val="left"/>
      <w:pPr>
        <w:tabs>
          <w:tab w:val="num" w:pos="0"/>
        </w:tabs>
        <w:ind w:left="5102" w:hanging="567"/>
      </w:pPr>
      <w:rPr>
        <w:rFonts w:hint="default"/>
      </w:rPr>
    </w:lvl>
  </w:abstractNum>
  <w:abstractNum w:abstractNumId="2" w15:restartNumberingAfterBreak="0">
    <w:nsid w:val="4F315E19"/>
    <w:multiLevelType w:val="hybridMultilevel"/>
    <w:tmpl w:val="713EF466"/>
    <w:lvl w:ilvl="0" w:tplc="0406000F">
      <w:start w:val="1"/>
      <w:numFmt w:val="decimal"/>
      <w:lvlText w:val="%1."/>
      <w:lvlJc w:val="left"/>
      <w:pPr>
        <w:ind w:left="1296" w:hanging="360"/>
      </w:pPr>
    </w:lvl>
    <w:lvl w:ilvl="1" w:tplc="04060019" w:tentative="1">
      <w:start w:val="1"/>
      <w:numFmt w:val="lowerLetter"/>
      <w:lvlText w:val="%2."/>
      <w:lvlJc w:val="left"/>
      <w:pPr>
        <w:ind w:left="2016" w:hanging="360"/>
      </w:pPr>
    </w:lvl>
    <w:lvl w:ilvl="2" w:tplc="0406001B" w:tentative="1">
      <w:start w:val="1"/>
      <w:numFmt w:val="lowerRoman"/>
      <w:lvlText w:val="%3."/>
      <w:lvlJc w:val="right"/>
      <w:pPr>
        <w:ind w:left="2736" w:hanging="180"/>
      </w:pPr>
    </w:lvl>
    <w:lvl w:ilvl="3" w:tplc="0406000F" w:tentative="1">
      <w:start w:val="1"/>
      <w:numFmt w:val="decimal"/>
      <w:lvlText w:val="%4."/>
      <w:lvlJc w:val="left"/>
      <w:pPr>
        <w:ind w:left="3456" w:hanging="360"/>
      </w:pPr>
    </w:lvl>
    <w:lvl w:ilvl="4" w:tplc="04060019" w:tentative="1">
      <w:start w:val="1"/>
      <w:numFmt w:val="lowerLetter"/>
      <w:lvlText w:val="%5."/>
      <w:lvlJc w:val="left"/>
      <w:pPr>
        <w:ind w:left="4176" w:hanging="360"/>
      </w:pPr>
    </w:lvl>
    <w:lvl w:ilvl="5" w:tplc="0406001B" w:tentative="1">
      <w:start w:val="1"/>
      <w:numFmt w:val="lowerRoman"/>
      <w:lvlText w:val="%6."/>
      <w:lvlJc w:val="right"/>
      <w:pPr>
        <w:ind w:left="4896" w:hanging="180"/>
      </w:pPr>
    </w:lvl>
    <w:lvl w:ilvl="6" w:tplc="0406000F" w:tentative="1">
      <w:start w:val="1"/>
      <w:numFmt w:val="decimal"/>
      <w:lvlText w:val="%7."/>
      <w:lvlJc w:val="left"/>
      <w:pPr>
        <w:ind w:left="5616" w:hanging="360"/>
      </w:pPr>
    </w:lvl>
    <w:lvl w:ilvl="7" w:tplc="04060019" w:tentative="1">
      <w:start w:val="1"/>
      <w:numFmt w:val="lowerLetter"/>
      <w:lvlText w:val="%8."/>
      <w:lvlJc w:val="left"/>
      <w:pPr>
        <w:ind w:left="6336" w:hanging="360"/>
      </w:pPr>
    </w:lvl>
    <w:lvl w:ilvl="8" w:tplc="0406001B" w:tentative="1">
      <w:start w:val="1"/>
      <w:numFmt w:val="lowerRoman"/>
      <w:lvlText w:val="%9."/>
      <w:lvlJc w:val="right"/>
      <w:pPr>
        <w:ind w:left="7056" w:hanging="180"/>
      </w:pPr>
    </w:lvl>
  </w:abstractNum>
  <w:abstractNum w:abstractNumId="3" w15:restartNumberingAfterBreak="0">
    <w:nsid w:val="5E286291"/>
    <w:multiLevelType w:val="hybridMultilevel"/>
    <w:tmpl w:val="0CE032E2"/>
    <w:lvl w:ilvl="0" w:tplc="594C49A6">
      <w:start w:val="1"/>
      <w:numFmt w:val="decimal"/>
      <w:lvlText w:val="§%1 ."/>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CCE734D"/>
    <w:multiLevelType w:val="multilevel"/>
    <w:tmpl w:val="44FE43A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9D8294C"/>
    <w:multiLevelType w:val="multilevel"/>
    <w:tmpl w:val="CB90EC90"/>
    <w:lvl w:ilvl="0">
      <w:start w:val="1"/>
      <w:numFmt w:val="decimal"/>
      <w:pStyle w:val="Overskrift1"/>
      <w:lvlText w:val="%1 ."/>
      <w:lvlJc w:val="left"/>
      <w:pPr>
        <w:ind w:left="76" w:hanging="360"/>
      </w:pPr>
      <w:rPr>
        <w:rFonts w:hint="default"/>
      </w:rPr>
    </w:lvl>
    <w:lvl w:ilvl="1">
      <w:start w:val="1"/>
      <w:numFmt w:val="decimal"/>
      <w:pStyle w:val="Normal"/>
      <w:lvlText w:val="%1.%2"/>
      <w:lvlJc w:val="left"/>
      <w:pPr>
        <w:ind w:left="718" w:hanging="576"/>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5"/>
    </w:lvlOverride>
    <w:lvlOverride w:ilvl="1">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800"/>
    <w:rsid w:val="000013E9"/>
    <w:rsid w:val="00001650"/>
    <w:rsid w:val="000026EA"/>
    <w:rsid w:val="00002E5B"/>
    <w:rsid w:val="00004BA2"/>
    <w:rsid w:val="000051B7"/>
    <w:rsid w:val="00006A46"/>
    <w:rsid w:val="00007211"/>
    <w:rsid w:val="000116F2"/>
    <w:rsid w:val="00011704"/>
    <w:rsid w:val="00011FC3"/>
    <w:rsid w:val="000135EE"/>
    <w:rsid w:val="00014C77"/>
    <w:rsid w:val="0001508A"/>
    <w:rsid w:val="000177F7"/>
    <w:rsid w:val="00017A2F"/>
    <w:rsid w:val="00017B8A"/>
    <w:rsid w:val="00020423"/>
    <w:rsid w:val="00022F7B"/>
    <w:rsid w:val="000254FA"/>
    <w:rsid w:val="000256C2"/>
    <w:rsid w:val="000306A7"/>
    <w:rsid w:val="00031ADA"/>
    <w:rsid w:val="000357F6"/>
    <w:rsid w:val="00040C3D"/>
    <w:rsid w:val="000429AB"/>
    <w:rsid w:val="0004371D"/>
    <w:rsid w:val="000439E3"/>
    <w:rsid w:val="00044D6B"/>
    <w:rsid w:val="0004552D"/>
    <w:rsid w:val="000470ED"/>
    <w:rsid w:val="00052CDE"/>
    <w:rsid w:val="00053265"/>
    <w:rsid w:val="00053301"/>
    <w:rsid w:val="00055B21"/>
    <w:rsid w:val="00060E58"/>
    <w:rsid w:val="00060FE4"/>
    <w:rsid w:val="000612B8"/>
    <w:rsid w:val="00065D5C"/>
    <w:rsid w:val="0007082D"/>
    <w:rsid w:val="000728B6"/>
    <w:rsid w:val="00073550"/>
    <w:rsid w:val="0007398D"/>
    <w:rsid w:val="00075093"/>
    <w:rsid w:val="00082251"/>
    <w:rsid w:val="000829D6"/>
    <w:rsid w:val="00082A76"/>
    <w:rsid w:val="00084087"/>
    <w:rsid w:val="00091A4C"/>
    <w:rsid w:val="0009672F"/>
    <w:rsid w:val="00097C24"/>
    <w:rsid w:val="000A37BE"/>
    <w:rsid w:val="000A38B1"/>
    <w:rsid w:val="000A3B5E"/>
    <w:rsid w:val="000A3EA7"/>
    <w:rsid w:val="000A67E4"/>
    <w:rsid w:val="000B1A6D"/>
    <w:rsid w:val="000B44DF"/>
    <w:rsid w:val="000B4CCC"/>
    <w:rsid w:val="000B6664"/>
    <w:rsid w:val="000C1B43"/>
    <w:rsid w:val="000D42FF"/>
    <w:rsid w:val="000E016A"/>
    <w:rsid w:val="000E2939"/>
    <w:rsid w:val="000E2C18"/>
    <w:rsid w:val="000E2FAA"/>
    <w:rsid w:val="000E3DE2"/>
    <w:rsid w:val="000E6380"/>
    <w:rsid w:val="000F18A6"/>
    <w:rsid w:val="000F1F0B"/>
    <w:rsid w:val="000F25CA"/>
    <w:rsid w:val="000F5373"/>
    <w:rsid w:val="000F63E5"/>
    <w:rsid w:val="000F6B61"/>
    <w:rsid w:val="000F7A99"/>
    <w:rsid w:val="0010245E"/>
    <w:rsid w:val="00106766"/>
    <w:rsid w:val="00107BB8"/>
    <w:rsid w:val="00110272"/>
    <w:rsid w:val="00111284"/>
    <w:rsid w:val="00116829"/>
    <w:rsid w:val="00117809"/>
    <w:rsid w:val="00123C26"/>
    <w:rsid w:val="00125CBC"/>
    <w:rsid w:val="00126003"/>
    <w:rsid w:val="00127EEE"/>
    <w:rsid w:val="001300AE"/>
    <w:rsid w:val="00133062"/>
    <w:rsid w:val="00136063"/>
    <w:rsid w:val="001366DD"/>
    <w:rsid w:val="00136CBB"/>
    <w:rsid w:val="001442B3"/>
    <w:rsid w:val="00144556"/>
    <w:rsid w:val="0014638C"/>
    <w:rsid w:val="001473B9"/>
    <w:rsid w:val="00153809"/>
    <w:rsid w:val="00153EBB"/>
    <w:rsid w:val="0015620C"/>
    <w:rsid w:val="001575D0"/>
    <w:rsid w:val="00157D96"/>
    <w:rsid w:val="00162993"/>
    <w:rsid w:val="00165432"/>
    <w:rsid w:val="00165D16"/>
    <w:rsid w:val="00170B4C"/>
    <w:rsid w:val="00180701"/>
    <w:rsid w:val="00180813"/>
    <w:rsid w:val="001835D3"/>
    <w:rsid w:val="00183668"/>
    <w:rsid w:val="00183E2C"/>
    <w:rsid w:val="00185DD2"/>
    <w:rsid w:val="001863DE"/>
    <w:rsid w:val="00187185"/>
    <w:rsid w:val="0018775B"/>
    <w:rsid w:val="00191294"/>
    <w:rsid w:val="00191931"/>
    <w:rsid w:val="001928EB"/>
    <w:rsid w:val="001936FC"/>
    <w:rsid w:val="00195FDE"/>
    <w:rsid w:val="001976B7"/>
    <w:rsid w:val="001A00D8"/>
    <w:rsid w:val="001A467E"/>
    <w:rsid w:val="001A485D"/>
    <w:rsid w:val="001A6132"/>
    <w:rsid w:val="001A6186"/>
    <w:rsid w:val="001B041C"/>
    <w:rsid w:val="001B5433"/>
    <w:rsid w:val="001D2F22"/>
    <w:rsid w:val="001D3BED"/>
    <w:rsid w:val="001D4800"/>
    <w:rsid w:val="001D64C5"/>
    <w:rsid w:val="001D6794"/>
    <w:rsid w:val="001E1ECE"/>
    <w:rsid w:val="001E433A"/>
    <w:rsid w:val="001E66D6"/>
    <w:rsid w:val="001E7B6C"/>
    <w:rsid w:val="001F2421"/>
    <w:rsid w:val="001F32C4"/>
    <w:rsid w:val="001F3C0B"/>
    <w:rsid w:val="00200831"/>
    <w:rsid w:val="00200CDA"/>
    <w:rsid w:val="00204373"/>
    <w:rsid w:val="0020561D"/>
    <w:rsid w:val="00205E23"/>
    <w:rsid w:val="002132A1"/>
    <w:rsid w:val="002140BF"/>
    <w:rsid w:val="0021456C"/>
    <w:rsid w:val="00217585"/>
    <w:rsid w:val="00220151"/>
    <w:rsid w:val="00225469"/>
    <w:rsid w:val="002325F7"/>
    <w:rsid w:val="00232957"/>
    <w:rsid w:val="00243357"/>
    <w:rsid w:val="002464B0"/>
    <w:rsid w:val="00251FDC"/>
    <w:rsid w:val="002524AB"/>
    <w:rsid w:val="002542D3"/>
    <w:rsid w:val="002550C0"/>
    <w:rsid w:val="00255C0D"/>
    <w:rsid w:val="00260110"/>
    <w:rsid w:val="00260C27"/>
    <w:rsid w:val="00267BED"/>
    <w:rsid w:val="00267E91"/>
    <w:rsid w:val="002713DD"/>
    <w:rsid w:val="00271563"/>
    <w:rsid w:val="00274959"/>
    <w:rsid w:val="00274C3D"/>
    <w:rsid w:val="002751C5"/>
    <w:rsid w:val="0028011A"/>
    <w:rsid w:val="002819AD"/>
    <w:rsid w:val="00283DCC"/>
    <w:rsid w:val="00286447"/>
    <w:rsid w:val="00287016"/>
    <w:rsid w:val="00287A9E"/>
    <w:rsid w:val="00290332"/>
    <w:rsid w:val="00291C03"/>
    <w:rsid w:val="00292337"/>
    <w:rsid w:val="00294D8F"/>
    <w:rsid w:val="00295507"/>
    <w:rsid w:val="0029674D"/>
    <w:rsid w:val="002969A1"/>
    <w:rsid w:val="002A174E"/>
    <w:rsid w:val="002A4F32"/>
    <w:rsid w:val="002B1D68"/>
    <w:rsid w:val="002B4B10"/>
    <w:rsid w:val="002B518D"/>
    <w:rsid w:val="002C17EC"/>
    <w:rsid w:val="002C24E6"/>
    <w:rsid w:val="002C433A"/>
    <w:rsid w:val="002C4F9E"/>
    <w:rsid w:val="002C5FEA"/>
    <w:rsid w:val="002C6489"/>
    <w:rsid w:val="002C6FC1"/>
    <w:rsid w:val="002D0DB9"/>
    <w:rsid w:val="002D2B60"/>
    <w:rsid w:val="002D2E24"/>
    <w:rsid w:val="002E1CE5"/>
    <w:rsid w:val="002E37E2"/>
    <w:rsid w:val="002E6315"/>
    <w:rsid w:val="002F0830"/>
    <w:rsid w:val="002F25EA"/>
    <w:rsid w:val="002F627F"/>
    <w:rsid w:val="002F715A"/>
    <w:rsid w:val="003012EE"/>
    <w:rsid w:val="00304265"/>
    <w:rsid w:val="00304FB9"/>
    <w:rsid w:val="00305CF3"/>
    <w:rsid w:val="003063FD"/>
    <w:rsid w:val="00306D59"/>
    <w:rsid w:val="00311B47"/>
    <w:rsid w:val="00312FD2"/>
    <w:rsid w:val="00314127"/>
    <w:rsid w:val="00315DA2"/>
    <w:rsid w:val="003231F9"/>
    <w:rsid w:val="00324647"/>
    <w:rsid w:val="00325680"/>
    <w:rsid w:val="00325A56"/>
    <w:rsid w:val="00325C5D"/>
    <w:rsid w:val="00326131"/>
    <w:rsid w:val="00327B59"/>
    <w:rsid w:val="003302B2"/>
    <w:rsid w:val="003318D8"/>
    <w:rsid w:val="00345560"/>
    <w:rsid w:val="00347843"/>
    <w:rsid w:val="003479D1"/>
    <w:rsid w:val="00351B2D"/>
    <w:rsid w:val="00352425"/>
    <w:rsid w:val="0035529B"/>
    <w:rsid w:val="003606E6"/>
    <w:rsid w:val="00363CF0"/>
    <w:rsid w:val="00363EEA"/>
    <w:rsid w:val="00363EFB"/>
    <w:rsid w:val="00364B1B"/>
    <w:rsid w:val="00371C61"/>
    <w:rsid w:val="00372CDD"/>
    <w:rsid w:val="00373FCE"/>
    <w:rsid w:val="00374961"/>
    <w:rsid w:val="003756E4"/>
    <w:rsid w:val="00376ADF"/>
    <w:rsid w:val="00381A01"/>
    <w:rsid w:val="003829F4"/>
    <w:rsid w:val="00383A8C"/>
    <w:rsid w:val="003853EC"/>
    <w:rsid w:val="0039001E"/>
    <w:rsid w:val="00390463"/>
    <w:rsid w:val="00390E4A"/>
    <w:rsid w:val="003919F6"/>
    <w:rsid w:val="00391AB3"/>
    <w:rsid w:val="003953E1"/>
    <w:rsid w:val="003A0944"/>
    <w:rsid w:val="003A321E"/>
    <w:rsid w:val="003B00E6"/>
    <w:rsid w:val="003B0F9D"/>
    <w:rsid w:val="003B200A"/>
    <w:rsid w:val="003B4501"/>
    <w:rsid w:val="003B46C2"/>
    <w:rsid w:val="003B49D4"/>
    <w:rsid w:val="003B4CB2"/>
    <w:rsid w:val="003B68AA"/>
    <w:rsid w:val="003C2EC4"/>
    <w:rsid w:val="003C3502"/>
    <w:rsid w:val="003C66CE"/>
    <w:rsid w:val="003D129A"/>
    <w:rsid w:val="003D15CF"/>
    <w:rsid w:val="003D6923"/>
    <w:rsid w:val="003D7341"/>
    <w:rsid w:val="003D7F7E"/>
    <w:rsid w:val="003E038B"/>
    <w:rsid w:val="003E2415"/>
    <w:rsid w:val="003E5C83"/>
    <w:rsid w:val="003F34BF"/>
    <w:rsid w:val="003F4201"/>
    <w:rsid w:val="003F6804"/>
    <w:rsid w:val="00403DA2"/>
    <w:rsid w:val="004067F1"/>
    <w:rsid w:val="00407024"/>
    <w:rsid w:val="004073C3"/>
    <w:rsid w:val="00410D68"/>
    <w:rsid w:val="00410FBD"/>
    <w:rsid w:val="0041115D"/>
    <w:rsid w:val="00412939"/>
    <w:rsid w:val="00412DA1"/>
    <w:rsid w:val="004136CD"/>
    <w:rsid w:val="0041372F"/>
    <w:rsid w:val="00417DAF"/>
    <w:rsid w:val="00420DF4"/>
    <w:rsid w:val="00420E13"/>
    <w:rsid w:val="00422E4A"/>
    <w:rsid w:val="004236D6"/>
    <w:rsid w:val="00423CD1"/>
    <w:rsid w:val="004250C7"/>
    <w:rsid w:val="00430BA4"/>
    <w:rsid w:val="00430E96"/>
    <w:rsid w:val="00431CE5"/>
    <w:rsid w:val="00435BA4"/>
    <w:rsid w:val="00437C86"/>
    <w:rsid w:val="00440952"/>
    <w:rsid w:val="0044200F"/>
    <w:rsid w:val="00445277"/>
    <w:rsid w:val="0044655B"/>
    <w:rsid w:val="00451845"/>
    <w:rsid w:val="00451DC0"/>
    <w:rsid w:val="0045340A"/>
    <w:rsid w:val="004548BD"/>
    <w:rsid w:val="00454984"/>
    <w:rsid w:val="00454AB0"/>
    <w:rsid w:val="00456165"/>
    <w:rsid w:val="00456350"/>
    <w:rsid w:val="00457447"/>
    <w:rsid w:val="00457B94"/>
    <w:rsid w:val="00465A13"/>
    <w:rsid w:val="00465B46"/>
    <w:rsid w:val="00465B5E"/>
    <w:rsid w:val="00467704"/>
    <w:rsid w:val="00472ED0"/>
    <w:rsid w:val="00474268"/>
    <w:rsid w:val="00477F6A"/>
    <w:rsid w:val="00483CB1"/>
    <w:rsid w:val="004868F0"/>
    <w:rsid w:val="00487036"/>
    <w:rsid w:val="0049136A"/>
    <w:rsid w:val="004932E7"/>
    <w:rsid w:val="004949AD"/>
    <w:rsid w:val="00494DC0"/>
    <w:rsid w:val="00495328"/>
    <w:rsid w:val="00496292"/>
    <w:rsid w:val="0049641D"/>
    <w:rsid w:val="00497778"/>
    <w:rsid w:val="004A234F"/>
    <w:rsid w:val="004A273C"/>
    <w:rsid w:val="004A34B9"/>
    <w:rsid w:val="004A3F9C"/>
    <w:rsid w:val="004A4312"/>
    <w:rsid w:val="004A6709"/>
    <w:rsid w:val="004A7C35"/>
    <w:rsid w:val="004B0204"/>
    <w:rsid w:val="004B151E"/>
    <w:rsid w:val="004C2583"/>
    <w:rsid w:val="004C3B66"/>
    <w:rsid w:val="004C4B20"/>
    <w:rsid w:val="004C660C"/>
    <w:rsid w:val="004C74E4"/>
    <w:rsid w:val="004D1016"/>
    <w:rsid w:val="004D1E4C"/>
    <w:rsid w:val="004D4481"/>
    <w:rsid w:val="004E2058"/>
    <w:rsid w:val="004E26E3"/>
    <w:rsid w:val="004E29AE"/>
    <w:rsid w:val="004E3F3C"/>
    <w:rsid w:val="004E6751"/>
    <w:rsid w:val="004F45DB"/>
    <w:rsid w:val="004F50E2"/>
    <w:rsid w:val="005000EA"/>
    <w:rsid w:val="00502B6D"/>
    <w:rsid w:val="005040DF"/>
    <w:rsid w:val="00504D80"/>
    <w:rsid w:val="00505DBC"/>
    <w:rsid w:val="005079F2"/>
    <w:rsid w:val="00507E6C"/>
    <w:rsid w:val="00511CF0"/>
    <w:rsid w:val="00513511"/>
    <w:rsid w:val="0051396E"/>
    <w:rsid w:val="0051460F"/>
    <w:rsid w:val="00520C25"/>
    <w:rsid w:val="0052116A"/>
    <w:rsid w:val="00522B5D"/>
    <w:rsid w:val="00522C19"/>
    <w:rsid w:val="00524F5D"/>
    <w:rsid w:val="00530E1C"/>
    <w:rsid w:val="00530FD1"/>
    <w:rsid w:val="005334DF"/>
    <w:rsid w:val="00536AAF"/>
    <w:rsid w:val="00536CF4"/>
    <w:rsid w:val="005421AF"/>
    <w:rsid w:val="00543D06"/>
    <w:rsid w:val="00545325"/>
    <w:rsid w:val="005522C6"/>
    <w:rsid w:val="005545BD"/>
    <w:rsid w:val="0055692B"/>
    <w:rsid w:val="00560775"/>
    <w:rsid w:val="005611EA"/>
    <w:rsid w:val="00561DF9"/>
    <w:rsid w:val="00563337"/>
    <w:rsid w:val="00571259"/>
    <w:rsid w:val="0057176D"/>
    <w:rsid w:val="00571BD4"/>
    <w:rsid w:val="00573206"/>
    <w:rsid w:val="0057642F"/>
    <w:rsid w:val="00580232"/>
    <w:rsid w:val="00580916"/>
    <w:rsid w:val="005813AB"/>
    <w:rsid w:val="00582096"/>
    <w:rsid w:val="005842F7"/>
    <w:rsid w:val="00584A71"/>
    <w:rsid w:val="00586838"/>
    <w:rsid w:val="00586B37"/>
    <w:rsid w:val="00587A36"/>
    <w:rsid w:val="00587F13"/>
    <w:rsid w:val="0059109F"/>
    <w:rsid w:val="00595858"/>
    <w:rsid w:val="005A1D3F"/>
    <w:rsid w:val="005A1F80"/>
    <w:rsid w:val="005A23FA"/>
    <w:rsid w:val="005A4CCB"/>
    <w:rsid w:val="005A5AF9"/>
    <w:rsid w:val="005A694E"/>
    <w:rsid w:val="005A77F7"/>
    <w:rsid w:val="005A7F7F"/>
    <w:rsid w:val="005B26DA"/>
    <w:rsid w:val="005B4051"/>
    <w:rsid w:val="005B4358"/>
    <w:rsid w:val="005B64DA"/>
    <w:rsid w:val="005B68C0"/>
    <w:rsid w:val="005B6D8B"/>
    <w:rsid w:val="005C00AE"/>
    <w:rsid w:val="005C3A49"/>
    <w:rsid w:val="005C3E63"/>
    <w:rsid w:val="005C3F33"/>
    <w:rsid w:val="005C417B"/>
    <w:rsid w:val="005D0DFC"/>
    <w:rsid w:val="005D3353"/>
    <w:rsid w:val="005D4B26"/>
    <w:rsid w:val="005D4B6C"/>
    <w:rsid w:val="005E1214"/>
    <w:rsid w:val="005E3D0A"/>
    <w:rsid w:val="005E3D18"/>
    <w:rsid w:val="005E4118"/>
    <w:rsid w:val="005E49C7"/>
    <w:rsid w:val="005E5692"/>
    <w:rsid w:val="005E6236"/>
    <w:rsid w:val="005E67AA"/>
    <w:rsid w:val="005F0DC2"/>
    <w:rsid w:val="005F2853"/>
    <w:rsid w:val="005F2958"/>
    <w:rsid w:val="005F7E45"/>
    <w:rsid w:val="005F7EE4"/>
    <w:rsid w:val="00600606"/>
    <w:rsid w:val="006014F9"/>
    <w:rsid w:val="00602BCB"/>
    <w:rsid w:val="00603DB0"/>
    <w:rsid w:val="00604D89"/>
    <w:rsid w:val="00605B66"/>
    <w:rsid w:val="00606A25"/>
    <w:rsid w:val="006151A6"/>
    <w:rsid w:val="006157E0"/>
    <w:rsid w:val="00617AB6"/>
    <w:rsid w:val="00620E50"/>
    <w:rsid w:val="0062146E"/>
    <w:rsid w:val="00621B2C"/>
    <w:rsid w:val="00622A35"/>
    <w:rsid w:val="00626261"/>
    <w:rsid w:val="00627BB7"/>
    <w:rsid w:val="00630786"/>
    <w:rsid w:val="00632E60"/>
    <w:rsid w:val="00636BF0"/>
    <w:rsid w:val="00643969"/>
    <w:rsid w:val="00643B44"/>
    <w:rsid w:val="006453D9"/>
    <w:rsid w:val="0064601D"/>
    <w:rsid w:val="0065264B"/>
    <w:rsid w:val="00652D7C"/>
    <w:rsid w:val="00653EA4"/>
    <w:rsid w:val="00654F12"/>
    <w:rsid w:val="0065523C"/>
    <w:rsid w:val="00655710"/>
    <w:rsid w:val="0065640A"/>
    <w:rsid w:val="006575AB"/>
    <w:rsid w:val="00657906"/>
    <w:rsid w:val="006608F5"/>
    <w:rsid w:val="00660FEA"/>
    <w:rsid w:val="0066252E"/>
    <w:rsid w:val="00672136"/>
    <w:rsid w:val="006737EB"/>
    <w:rsid w:val="00673E81"/>
    <w:rsid w:val="0067606A"/>
    <w:rsid w:val="00676C72"/>
    <w:rsid w:val="00681D6B"/>
    <w:rsid w:val="00681E3A"/>
    <w:rsid w:val="00682BE6"/>
    <w:rsid w:val="00682F59"/>
    <w:rsid w:val="00684FA7"/>
    <w:rsid w:val="0068664D"/>
    <w:rsid w:val="00690631"/>
    <w:rsid w:val="0069205B"/>
    <w:rsid w:val="0069249F"/>
    <w:rsid w:val="00693970"/>
    <w:rsid w:val="00695174"/>
    <w:rsid w:val="006A1AF2"/>
    <w:rsid w:val="006A250E"/>
    <w:rsid w:val="006A3F05"/>
    <w:rsid w:val="006A4A9C"/>
    <w:rsid w:val="006A6D49"/>
    <w:rsid w:val="006B18C5"/>
    <w:rsid w:val="006B38C7"/>
    <w:rsid w:val="006B6204"/>
    <w:rsid w:val="006B6B8A"/>
    <w:rsid w:val="006B74C1"/>
    <w:rsid w:val="006B754B"/>
    <w:rsid w:val="006B7A1C"/>
    <w:rsid w:val="006C16E1"/>
    <w:rsid w:val="006C2222"/>
    <w:rsid w:val="006C37F5"/>
    <w:rsid w:val="006C3A97"/>
    <w:rsid w:val="006D34C2"/>
    <w:rsid w:val="006D39AA"/>
    <w:rsid w:val="006D6845"/>
    <w:rsid w:val="006E2915"/>
    <w:rsid w:val="006E2C02"/>
    <w:rsid w:val="006E44C8"/>
    <w:rsid w:val="006E4692"/>
    <w:rsid w:val="006E7CD6"/>
    <w:rsid w:val="006F183E"/>
    <w:rsid w:val="006F23AC"/>
    <w:rsid w:val="006F3968"/>
    <w:rsid w:val="006F3E3C"/>
    <w:rsid w:val="0070470D"/>
    <w:rsid w:val="00704FF4"/>
    <w:rsid w:val="00706709"/>
    <w:rsid w:val="00707E7A"/>
    <w:rsid w:val="00710428"/>
    <w:rsid w:val="00713B7A"/>
    <w:rsid w:val="00714735"/>
    <w:rsid w:val="007148BC"/>
    <w:rsid w:val="00714CEC"/>
    <w:rsid w:val="007229ED"/>
    <w:rsid w:val="00725275"/>
    <w:rsid w:val="00727135"/>
    <w:rsid w:val="00731497"/>
    <w:rsid w:val="00732191"/>
    <w:rsid w:val="007330FC"/>
    <w:rsid w:val="00736090"/>
    <w:rsid w:val="00736327"/>
    <w:rsid w:val="007373DE"/>
    <w:rsid w:val="007425F1"/>
    <w:rsid w:val="00744633"/>
    <w:rsid w:val="0074688C"/>
    <w:rsid w:val="0074795A"/>
    <w:rsid w:val="00751C61"/>
    <w:rsid w:val="00753400"/>
    <w:rsid w:val="00762373"/>
    <w:rsid w:val="00766C58"/>
    <w:rsid w:val="0077114B"/>
    <w:rsid w:val="00771BE8"/>
    <w:rsid w:val="00771CE1"/>
    <w:rsid w:val="00774C2D"/>
    <w:rsid w:val="0077629A"/>
    <w:rsid w:val="00780084"/>
    <w:rsid w:val="00780B66"/>
    <w:rsid w:val="0078111A"/>
    <w:rsid w:val="00781AD2"/>
    <w:rsid w:val="00782806"/>
    <w:rsid w:val="00783034"/>
    <w:rsid w:val="00785DEB"/>
    <w:rsid w:val="00787494"/>
    <w:rsid w:val="00791D09"/>
    <w:rsid w:val="00792058"/>
    <w:rsid w:val="00794FA7"/>
    <w:rsid w:val="00795014"/>
    <w:rsid w:val="007A1412"/>
    <w:rsid w:val="007A433D"/>
    <w:rsid w:val="007B46BD"/>
    <w:rsid w:val="007C346E"/>
    <w:rsid w:val="007C3CA1"/>
    <w:rsid w:val="007C5B51"/>
    <w:rsid w:val="007D014E"/>
    <w:rsid w:val="007D0BB4"/>
    <w:rsid w:val="007D0C91"/>
    <w:rsid w:val="007D2016"/>
    <w:rsid w:val="007D6D22"/>
    <w:rsid w:val="007D7040"/>
    <w:rsid w:val="007E0FC0"/>
    <w:rsid w:val="007E426B"/>
    <w:rsid w:val="007F0EC2"/>
    <w:rsid w:val="007F727F"/>
    <w:rsid w:val="007F7D83"/>
    <w:rsid w:val="008002FD"/>
    <w:rsid w:val="00800429"/>
    <w:rsid w:val="00800A1C"/>
    <w:rsid w:val="00805851"/>
    <w:rsid w:val="00810001"/>
    <w:rsid w:val="00810D57"/>
    <w:rsid w:val="00815409"/>
    <w:rsid w:val="00817340"/>
    <w:rsid w:val="00822947"/>
    <w:rsid w:val="0082309C"/>
    <w:rsid w:val="008243B2"/>
    <w:rsid w:val="00824402"/>
    <w:rsid w:val="00825CA2"/>
    <w:rsid w:val="00825FAB"/>
    <w:rsid w:val="00835C78"/>
    <w:rsid w:val="00836278"/>
    <w:rsid w:val="00837750"/>
    <w:rsid w:val="00837B47"/>
    <w:rsid w:val="00840329"/>
    <w:rsid w:val="008408A4"/>
    <w:rsid w:val="00841841"/>
    <w:rsid w:val="00841BB1"/>
    <w:rsid w:val="00841C89"/>
    <w:rsid w:val="00841DC4"/>
    <w:rsid w:val="008429BF"/>
    <w:rsid w:val="00842DD1"/>
    <w:rsid w:val="00844803"/>
    <w:rsid w:val="00847BEA"/>
    <w:rsid w:val="00850B9C"/>
    <w:rsid w:val="00853A7F"/>
    <w:rsid w:val="00853BC0"/>
    <w:rsid w:val="008603F0"/>
    <w:rsid w:val="00860676"/>
    <w:rsid w:val="0086342E"/>
    <w:rsid w:val="008657C0"/>
    <w:rsid w:val="00866391"/>
    <w:rsid w:val="00867986"/>
    <w:rsid w:val="00867C05"/>
    <w:rsid w:val="008712D9"/>
    <w:rsid w:val="00871B19"/>
    <w:rsid w:val="00872C49"/>
    <w:rsid w:val="008842D2"/>
    <w:rsid w:val="0088528F"/>
    <w:rsid w:val="008879D8"/>
    <w:rsid w:val="0089056C"/>
    <w:rsid w:val="00891DC6"/>
    <w:rsid w:val="00893943"/>
    <w:rsid w:val="00895CD1"/>
    <w:rsid w:val="00896273"/>
    <w:rsid w:val="008A1C2D"/>
    <w:rsid w:val="008A6E89"/>
    <w:rsid w:val="008B0657"/>
    <w:rsid w:val="008B2E0B"/>
    <w:rsid w:val="008B4B0C"/>
    <w:rsid w:val="008B609B"/>
    <w:rsid w:val="008B7A30"/>
    <w:rsid w:val="008C3226"/>
    <w:rsid w:val="008C51A4"/>
    <w:rsid w:val="008C769B"/>
    <w:rsid w:val="008D1EB6"/>
    <w:rsid w:val="008D2647"/>
    <w:rsid w:val="008D5897"/>
    <w:rsid w:val="008D6026"/>
    <w:rsid w:val="008D68E9"/>
    <w:rsid w:val="008E22D3"/>
    <w:rsid w:val="008E305A"/>
    <w:rsid w:val="008E346A"/>
    <w:rsid w:val="008E43C2"/>
    <w:rsid w:val="008E58E5"/>
    <w:rsid w:val="008F02C6"/>
    <w:rsid w:val="008F25DD"/>
    <w:rsid w:val="008F3B80"/>
    <w:rsid w:val="008F5210"/>
    <w:rsid w:val="008F5D6D"/>
    <w:rsid w:val="0090214F"/>
    <w:rsid w:val="00902846"/>
    <w:rsid w:val="00903F70"/>
    <w:rsid w:val="00905996"/>
    <w:rsid w:val="00906C57"/>
    <w:rsid w:val="0091091C"/>
    <w:rsid w:val="00911093"/>
    <w:rsid w:val="009121D5"/>
    <w:rsid w:val="009135FD"/>
    <w:rsid w:val="00913704"/>
    <w:rsid w:val="00913CFF"/>
    <w:rsid w:val="009144D6"/>
    <w:rsid w:val="00920F16"/>
    <w:rsid w:val="00921E34"/>
    <w:rsid w:val="0092239E"/>
    <w:rsid w:val="00924F54"/>
    <w:rsid w:val="00926B0E"/>
    <w:rsid w:val="00930AB2"/>
    <w:rsid w:val="00931E15"/>
    <w:rsid w:val="009324E0"/>
    <w:rsid w:val="009326D3"/>
    <w:rsid w:val="00933C85"/>
    <w:rsid w:val="009340D6"/>
    <w:rsid w:val="00934C1E"/>
    <w:rsid w:val="00934C56"/>
    <w:rsid w:val="00941749"/>
    <w:rsid w:val="00941A78"/>
    <w:rsid w:val="00941AD5"/>
    <w:rsid w:val="0094245E"/>
    <w:rsid w:val="00950C44"/>
    <w:rsid w:val="0095118E"/>
    <w:rsid w:val="00954A17"/>
    <w:rsid w:val="00956438"/>
    <w:rsid w:val="00957EA2"/>
    <w:rsid w:val="00961039"/>
    <w:rsid w:val="00965508"/>
    <w:rsid w:val="00965833"/>
    <w:rsid w:val="00974156"/>
    <w:rsid w:val="009742B1"/>
    <w:rsid w:val="009748D3"/>
    <w:rsid w:val="00975973"/>
    <w:rsid w:val="009779AE"/>
    <w:rsid w:val="00981271"/>
    <w:rsid w:val="009822C0"/>
    <w:rsid w:val="009825BC"/>
    <w:rsid w:val="00986B39"/>
    <w:rsid w:val="00986D65"/>
    <w:rsid w:val="009902CB"/>
    <w:rsid w:val="009923A9"/>
    <w:rsid w:val="00994134"/>
    <w:rsid w:val="00996F98"/>
    <w:rsid w:val="009970B8"/>
    <w:rsid w:val="009A470F"/>
    <w:rsid w:val="009A6D95"/>
    <w:rsid w:val="009A7578"/>
    <w:rsid w:val="009B1467"/>
    <w:rsid w:val="009B1AF7"/>
    <w:rsid w:val="009B2685"/>
    <w:rsid w:val="009B3D02"/>
    <w:rsid w:val="009B3D18"/>
    <w:rsid w:val="009B4858"/>
    <w:rsid w:val="009B4AC8"/>
    <w:rsid w:val="009B549D"/>
    <w:rsid w:val="009B5860"/>
    <w:rsid w:val="009B5CDF"/>
    <w:rsid w:val="009B5E64"/>
    <w:rsid w:val="009C08F1"/>
    <w:rsid w:val="009C23C2"/>
    <w:rsid w:val="009C5113"/>
    <w:rsid w:val="009C59C1"/>
    <w:rsid w:val="009C774D"/>
    <w:rsid w:val="009D0374"/>
    <w:rsid w:val="009D0405"/>
    <w:rsid w:val="009D206D"/>
    <w:rsid w:val="009D222E"/>
    <w:rsid w:val="009D3355"/>
    <w:rsid w:val="009D362B"/>
    <w:rsid w:val="009D38A7"/>
    <w:rsid w:val="009D43ED"/>
    <w:rsid w:val="009D53F1"/>
    <w:rsid w:val="009D5943"/>
    <w:rsid w:val="009E289E"/>
    <w:rsid w:val="009E3B8C"/>
    <w:rsid w:val="009E3C26"/>
    <w:rsid w:val="009E4096"/>
    <w:rsid w:val="009E4116"/>
    <w:rsid w:val="009E69E3"/>
    <w:rsid w:val="009F32C2"/>
    <w:rsid w:val="009F45E2"/>
    <w:rsid w:val="009F478F"/>
    <w:rsid w:val="009F7187"/>
    <w:rsid w:val="00A0075D"/>
    <w:rsid w:val="00A02D38"/>
    <w:rsid w:val="00A02FA3"/>
    <w:rsid w:val="00A07760"/>
    <w:rsid w:val="00A07F27"/>
    <w:rsid w:val="00A14B9D"/>
    <w:rsid w:val="00A1696D"/>
    <w:rsid w:val="00A16C32"/>
    <w:rsid w:val="00A17529"/>
    <w:rsid w:val="00A201E1"/>
    <w:rsid w:val="00A20FFE"/>
    <w:rsid w:val="00A221A7"/>
    <w:rsid w:val="00A22D18"/>
    <w:rsid w:val="00A2621F"/>
    <w:rsid w:val="00A26F2D"/>
    <w:rsid w:val="00A30090"/>
    <w:rsid w:val="00A304BD"/>
    <w:rsid w:val="00A3295A"/>
    <w:rsid w:val="00A34C65"/>
    <w:rsid w:val="00A35C4D"/>
    <w:rsid w:val="00A36A3D"/>
    <w:rsid w:val="00A40EB2"/>
    <w:rsid w:val="00A418BD"/>
    <w:rsid w:val="00A41C7E"/>
    <w:rsid w:val="00A47218"/>
    <w:rsid w:val="00A47DE9"/>
    <w:rsid w:val="00A528A6"/>
    <w:rsid w:val="00A536EA"/>
    <w:rsid w:val="00A53DA1"/>
    <w:rsid w:val="00A53E6B"/>
    <w:rsid w:val="00A562F6"/>
    <w:rsid w:val="00A570FF"/>
    <w:rsid w:val="00A579BD"/>
    <w:rsid w:val="00A6085D"/>
    <w:rsid w:val="00A624F6"/>
    <w:rsid w:val="00A64584"/>
    <w:rsid w:val="00A64948"/>
    <w:rsid w:val="00A803C3"/>
    <w:rsid w:val="00A80D33"/>
    <w:rsid w:val="00A82AF8"/>
    <w:rsid w:val="00A91EDA"/>
    <w:rsid w:val="00A920B9"/>
    <w:rsid w:val="00A92D30"/>
    <w:rsid w:val="00A936BA"/>
    <w:rsid w:val="00A93768"/>
    <w:rsid w:val="00A939B7"/>
    <w:rsid w:val="00A94175"/>
    <w:rsid w:val="00A94D86"/>
    <w:rsid w:val="00A95153"/>
    <w:rsid w:val="00AA2E05"/>
    <w:rsid w:val="00AA61F7"/>
    <w:rsid w:val="00AA75CF"/>
    <w:rsid w:val="00AB682E"/>
    <w:rsid w:val="00AB75F9"/>
    <w:rsid w:val="00AB7908"/>
    <w:rsid w:val="00AC0E47"/>
    <w:rsid w:val="00AD2DDF"/>
    <w:rsid w:val="00AD44A8"/>
    <w:rsid w:val="00AD46BE"/>
    <w:rsid w:val="00AE1991"/>
    <w:rsid w:val="00AE1F13"/>
    <w:rsid w:val="00AE3BAD"/>
    <w:rsid w:val="00AE4B3E"/>
    <w:rsid w:val="00AE7185"/>
    <w:rsid w:val="00AF013F"/>
    <w:rsid w:val="00AF2D94"/>
    <w:rsid w:val="00AF758D"/>
    <w:rsid w:val="00B0056C"/>
    <w:rsid w:val="00B035BA"/>
    <w:rsid w:val="00B03B89"/>
    <w:rsid w:val="00B04023"/>
    <w:rsid w:val="00B042F1"/>
    <w:rsid w:val="00B04AB3"/>
    <w:rsid w:val="00B05C44"/>
    <w:rsid w:val="00B132EF"/>
    <w:rsid w:val="00B13C86"/>
    <w:rsid w:val="00B13EE2"/>
    <w:rsid w:val="00B16AE6"/>
    <w:rsid w:val="00B17C70"/>
    <w:rsid w:val="00B17DD8"/>
    <w:rsid w:val="00B241BF"/>
    <w:rsid w:val="00B25E18"/>
    <w:rsid w:val="00B26C27"/>
    <w:rsid w:val="00B324FC"/>
    <w:rsid w:val="00B357A4"/>
    <w:rsid w:val="00B367E9"/>
    <w:rsid w:val="00B37907"/>
    <w:rsid w:val="00B42CD6"/>
    <w:rsid w:val="00B43F85"/>
    <w:rsid w:val="00B454C5"/>
    <w:rsid w:val="00B45C70"/>
    <w:rsid w:val="00B46E1D"/>
    <w:rsid w:val="00B51102"/>
    <w:rsid w:val="00B5191E"/>
    <w:rsid w:val="00B524AE"/>
    <w:rsid w:val="00B53FD3"/>
    <w:rsid w:val="00B54B04"/>
    <w:rsid w:val="00B57C93"/>
    <w:rsid w:val="00B60A10"/>
    <w:rsid w:val="00B630D9"/>
    <w:rsid w:val="00B737D3"/>
    <w:rsid w:val="00B806C4"/>
    <w:rsid w:val="00B843E1"/>
    <w:rsid w:val="00B84712"/>
    <w:rsid w:val="00B90CFB"/>
    <w:rsid w:val="00B90D66"/>
    <w:rsid w:val="00B920BE"/>
    <w:rsid w:val="00B92B91"/>
    <w:rsid w:val="00B92FDB"/>
    <w:rsid w:val="00B95BA2"/>
    <w:rsid w:val="00BA2522"/>
    <w:rsid w:val="00BA2C53"/>
    <w:rsid w:val="00BA52F9"/>
    <w:rsid w:val="00BA5CAA"/>
    <w:rsid w:val="00BA6DE8"/>
    <w:rsid w:val="00BA7879"/>
    <w:rsid w:val="00BB1DB6"/>
    <w:rsid w:val="00BB5247"/>
    <w:rsid w:val="00BB52CB"/>
    <w:rsid w:val="00BB582B"/>
    <w:rsid w:val="00BB5A82"/>
    <w:rsid w:val="00BB6403"/>
    <w:rsid w:val="00BB7DE0"/>
    <w:rsid w:val="00BC0188"/>
    <w:rsid w:val="00BC21AE"/>
    <w:rsid w:val="00BC6F7D"/>
    <w:rsid w:val="00BD1179"/>
    <w:rsid w:val="00BD1687"/>
    <w:rsid w:val="00BD1A07"/>
    <w:rsid w:val="00BD4DE5"/>
    <w:rsid w:val="00BD5C9B"/>
    <w:rsid w:val="00BD7A10"/>
    <w:rsid w:val="00BE2E5C"/>
    <w:rsid w:val="00BE4261"/>
    <w:rsid w:val="00BE7ED2"/>
    <w:rsid w:val="00BF12B5"/>
    <w:rsid w:val="00BF185C"/>
    <w:rsid w:val="00BF18BA"/>
    <w:rsid w:val="00BF3F81"/>
    <w:rsid w:val="00BF4195"/>
    <w:rsid w:val="00BF41DC"/>
    <w:rsid w:val="00BF66F6"/>
    <w:rsid w:val="00BF70DF"/>
    <w:rsid w:val="00C00029"/>
    <w:rsid w:val="00C10C86"/>
    <w:rsid w:val="00C11953"/>
    <w:rsid w:val="00C1350E"/>
    <w:rsid w:val="00C13D08"/>
    <w:rsid w:val="00C13D15"/>
    <w:rsid w:val="00C15E2F"/>
    <w:rsid w:val="00C22643"/>
    <w:rsid w:val="00C23FE5"/>
    <w:rsid w:val="00C27066"/>
    <w:rsid w:val="00C2795A"/>
    <w:rsid w:val="00C339F7"/>
    <w:rsid w:val="00C40411"/>
    <w:rsid w:val="00C42E44"/>
    <w:rsid w:val="00C441D4"/>
    <w:rsid w:val="00C4530E"/>
    <w:rsid w:val="00C4589C"/>
    <w:rsid w:val="00C4661A"/>
    <w:rsid w:val="00C51E4C"/>
    <w:rsid w:val="00C52BA6"/>
    <w:rsid w:val="00C53F9F"/>
    <w:rsid w:val="00C54AD1"/>
    <w:rsid w:val="00C54D30"/>
    <w:rsid w:val="00C55E2A"/>
    <w:rsid w:val="00C57303"/>
    <w:rsid w:val="00C609F4"/>
    <w:rsid w:val="00C619CD"/>
    <w:rsid w:val="00C63B8E"/>
    <w:rsid w:val="00C65E72"/>
    <w:rsid w:val="00C67370"/>
    <w:rsid w:val="00C70D1B"/>
    <w:rsid w:val="00C746B2"/>
    <w:rsid w:val="00C83C6B"/>
    <w:rsid w:val="00C84243"/>
    <w:rsid w:val="00C842B5"/>
    <w:rsid w:val="00C849B6"/>
    <w:rsid w:val="00C86C7D"/>
    <w:rsid w:val="00C86DFB"/>
    <w:rsid w:val="00C87E58"/>
    <w:rsid w:val="00C904EE"/>
    <w:rsid w:val="00C9172C"/>
    <w:rsid w:val="00C93EFA"/>
    <w:rsid w:val="00C95926"/>
    <w:rsid w:val="00C9604A"/>
    <w:rsid w:val="00C9605F"/>
    <w:rsid w:val="00C96FB6"/>
    <w:rsid w:val="00CA0649"/>
    <w:rsid w:val="00CA271B"/>
    <w:rsid w:val="00CA4D25"/>
    <w:rsid w:val="00CA4F50"/>
    <w:rsid w:val="00CA609B"/>
    <w:rsid w:val="00CA647B"/>
    <w:rsid w:val="00CA64F8"/>
    <w:rsid w:val="00CA75FD"/>
    <w:rsid w:val="00CB3C32"/>
    <w:rsid w:val="00CB5589"/>
    <w:rsid w:val="00CB7A80"/>
    <w:rsid w:val="00CC0A6F"/>
    <w:rsid w:val="00CC4C39"/>
    <w:rsid w:val="00CC6780"/>
    <w:rsid w:val="00CD0009"/>
    <w:rsid w:val="00CD06A5"/>
    <w:rsid w:val="00CD7C52"/>
    <w:rsid w:val="00CE0950"/>
    <w:rsid w:val="00CE1954"/>
    <w:rsid w:val="00CE1FD1"/>
    <w:rsid w:val="00CE2DDD"/>
    <w:rsid w:val="00CE7914"/>
    <w:rsid w:val="00CE7932"/>
    <w:rsid w:val="00CF63C4"/>
    <w:rsid w:val="00CF768A"/>
    <w:rsid w:val="00CF7AFF"/>
    <w:rsid w:val="00D0235B"/>
    <w:rsid w:val="00D03ABC"/>
    <w:rsid w:val="00D053A4"/>
    <w:rsid w:val="00D10427"/>
    <w:rsid w:val="00D134A7"/>
    <w:rsid w:val="00D14F1F"/>
    <w:rsid w:val="00D16CD2"/>
    <w:rsid w:val="00D17030"/>
    <w:rsid w:val="00D215AA"/>
    <w:rsid w:val="00D21A1B"/>
    <w:rsid w:val="00D255FC"/>
    <w:rsid w:val="00D33827"/>
    <w:rsid w:val="00D43656"/>
    <w:rsid w:val="00D43EDD"/>
    <w:rsid w:val="00D447A9"/>
    <w:rsid w:val="00D52A39"/>
    <w:rsid w:val="00D52DBB"/>
    <w:rsid w:val="00D56827"/>
    <w:rsid w:val="00D5683F"/>
    <w:rsid w:val="00D60B80"/>
    <w:rsid w:val="00D616E4"/>
    <w:rsid w:val="00D62386"/>
    <w:rsid w:val="00D623CC"/>
    <w:rsid w:val="00D635C2"/>
    <w:rsid w:val="00D64A6F"/>
    <w:rsid w:val="00D64EF4"/>
    <w:rsid w:val="00D66ADD"/>
    <w:rsid w:val="00D702C8"/>
    <w:rsid w:val="00D76744"/>
    <w:rsid w:val="00D84CA5"/>
    <w:rsid w:val="00D85DA6"/>
    <w:rsid w:val="00D8679D"/>
    <w:rsid w:val="00D87DF2"/>
    <w:rsid w:val="00D90A00"/>
    <w:rsid w:val="00D92E55"/>
    <w:rsid w:val="00D93DEA"/>
    <w:rsid w:val="00D9631B"/>
    <w:rsid w:val="00D96CA4"/>
    <w:rsid w:val="00D977BC"/>
    <w:rsid w:val="00DA3B15"/>
    <w:rsid w:val="00DB320F"/>
    <w:rsid w:val="00DB758E"/>
    <w:rsid w:val="00DC4773"/>
    <w:rsid w:val="00DC53F5"/>
    <w:rsid w:val="00DC59D1"/>
    <w:rsid w:val="00DC5C9E"/>
    <w:rsid w:val="00DC6CF4"/>
    <w:rsid w:val="00DC7CFA"/>
    <w:rsid w:val="00DD0177"/>
    <w:rsid w:val="00DD0654"/>
    <w:rsid w:val="00DD3D38"/>
    <w:rsid w:val="00DD4CFF"/>
    <w:rsid w:val="00DD781C"/>
    <w:rsid w:val="00DE424D"/>
    <w:rsid w:val="00DE5AF5"/>
    <w:rsid w:val="00DF1C3B"/>
    <w:rsid w:val="00DF2E8B"/>
    <w:rsid w:val="00DF41F7"/>
    <w:rsid w:val="00DF5331"/>
    <w:rsid w:val="00E0692B"/>
    <w:rsid w:val="00E06DC9"/>
    <w:rsid w:val="00E1270C"/>
    <w:rsid w:val="00E13FA4"/>
    <w:rsid w:val="00E2239C"/>
    <w:rsid w:val="00E27C89"/>
    <w:rsid w:val="00E30A4E"/>
    <w:rsid w:val="00E338E2"/>
    <w:rsid w:val="00E34ACF"/>
    <w:rsid w:val="00E36CB8"/>
    <w:rsid w:val="00E37AF0"/>
    <w:rsid w:val="00E40C66"/>
    <w:rsid w:val="00E4127E"/>
    <w:rsid w:val="00E41509"/>
    <w:rsid w:val="00E41FE6"/>
    <w:rsid w:val="00E436EF"/>
    <w:rsid w:val="00E44359"/>
    <w:rsid w:val="00E462EE"/>
    <w:rsid w:val="00E47B99"/>
    <w:rsid w:val="00E541CE"/>
    <w:rsid w:val="00E54D85"/>
    <w:rsid w:val="00E562CB"/>
    <w:rsid w:val="00E57D72"/>
    <w:rsid w:val="00E60105"/>
    <w:rsid w:val="00E61126"/>
    <w:rsid w:val="00E61C88"/>
    <w:rsid w:val="00E66984"/>
    <w:rsid w:val="00E72EF9"/>
    <w:rsid w:val="00E80DE5"/>
    <w:rsid w:val="00E80F9B"/>
    <w:rsid w:val="00E83771"/>
    <w:rsid w:val="00EA2E2F"/>
    <w:rsid w:val="00EA2F3B"/>
    <w:rsid w:val="00EA5168"/>
    <w:rsid w:val="00EA552B"/>
    <w:rsid w:val="00EA5E5B"/>
    <w:rsid w:val="00EA6187"/>
    <w:rsid w:val="00EB13D8"/>
    <w:rsid w:val="00EB1EF2"/>
    <w:rsid w:val="00EB2DD0"/>
    <w:rsid w:val="00EB3004"/>
    <w:rsid w:val="00EB4C3C"/>
    <w:rsid w:val="00EB64AD"/>
    <w:rsid w:val="00EB6C44"/>
    <w:rsid w:val="00EB74E6"/>
    <w:rsid w:val="00EC07BC"/>
    <w:rsid w:val="00EC19D8"/>
    <w:rsid w:val="00EC3DD9"/>
    <w:rsid w:val="00EC401B"/>
    <w:rsid w:val="00ED087D"/>
    <w:rsid w:val="00ED50BE"/>
    <w:rsid w:val="00ED58C5"/>
    <w:rsid w:val="00ED75A5"/>
    <w:rsid w:val="00ED7F5B"/>
    <w:rsid w:val="00EE3BCA"/>
    <w:rsid w:val="00EE453A"/>
    <w:rsid w:val="00EE5A30"/>
    <w:rsid w:val="00EE6F5E"/>
    <w:rsid w:val="00EE77D1"/>
    <w:rsid w:val="00EF033B"/>
    <w:rsid w:val="00EF114E"/>
    <w:rsid w:val="00EF3F88"/>
    <w:rsid w:val="00EF5071"/>
    <w:rsid w:val="00EF5129"/>
    <w:rsid w:val="00EF5C57"/>
    <w:rsid w:val="00F01E61"/>
    <w:rsid w:val="00F0349D"/>
    <w:rsid w:val="00F03798"/>
    <w:rsid w:val="00F041DC"/>
    <w:rsid w:val="00F10A26"/>
    <w:rsid w:val="00F11074"/>
    <w:rsid w:val="00F12C23"/>
    <w:rsid w:val="00F1412B"/>
    <w:rsid w:val="00F14EDF"/>
    <w:rsid w:val="00F15BA9"/>
    <w:rsid w:val="00F2165D"/>
    <w:rsid w:val="00F21A84"/>
    <w:rsid w:val="00F21AA1"/>
    <w:rsid w:val="00F21C4E"/>
    <w:rsid w:val="00F24390"/>
    <w:rsid w:val="00F24FB7"/>
    <w:rsid w:val="00F26C85"/>
    <w:rsid w:val="00F330BD"/>
    <w:rsid w:val="00F34199"/>
    <w:rsid w:val="00F35A1D"/>
    <w:rsid w:val="00F4225C"/>
    <w:rsid w:val="00F443BD"/>
    <w:rsid w:val="00F44EAD"/>
    <w:rsid w:val="00F45E37"/>
    <w:rsid w:val="00F50A0E"/>
    <w:rsid w:val="00F5152A"/>
    <w:rsid w:val="00F51CFD"/>
    <w:rsid w:val="00F53C63"/>
    <w:rsid w:val="00F53E29"/>
    <w:rsid w:val="00F617B9"/>
    <w:rsid w:val="00F63B1F"/>
    <w:rsid w:val="00F64EA3"/>
    <w:rsid w:val="00F66789"/>
    <w:rsid w:val="00F708CD"/>
    <w:rsid w:val="00F742C6"/>
    <w:rsid w:val="00F74A6D"/>
    <w:rsid w:val="00F75871"/>
    <w:rsid w:val="00F75ED5"/>
    <w:rsid w:val="00F768D6"/>
    <w:rsid w:val="00F76F82"/>
    <w:rsid w:val="00F7763A"/>
    <w:rsid w:val="00F869E2"/>
    <w:rsid w:val="00F925A0"/>
    <w:rsid w:val="00F95381"/>
    <w:rsid w:val="00F96D05"/>
    <w:rsid w:val="00F97CF5"/>
    <w:rsid w:val="00FA00C9"/>
    <w:rsid w:val="00FA40B7"/>
    <w:rsid w:val="00FB0416"/>
    <w:rsid w:val="00FB2205"/>
    <w:rsid w:val="00FB3273"/>
    <w:rsid w:val="00FB7490"/>
    <w:rsid w:val="00FB79CE"/>
    <w:rsid w:val="00FC349C"/>
    <w:rsid w:val="00FC3BA4"/>
    <w:rsid w:val="00FC5154"/>
    <w:rsid w:val="00FC5EFF"/>
    <w:rsid w:val="00FC6A48"/>
    <w:rsid w:val="00FC77BE"/>
    <w:rsid w:val="00FD1004"/>
    <w:rsid w:val="00FD4658"/>
    <w:rsid w:val="00FD6972"/>
    <w:rsid w:val="00FD7B61"/>
    <w:rsid w:val="00FE160F"/>
    <w:rsid w:val="00FE432B"/>
    <w:rsid w:val="00FF0DFA"/>
    <w:rsid w:val="00FF277D"/>
    <w:rsid w:val="00FF39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BC12A6"/>
  <w15:chartTrackingRefBased/>
  <w15:docId w15:val="{2B637225-EF85-49B6-A6DF-D3E6F7DC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Ingenafstand"/>
    <w:qFormat/>
    <w:rsid w:val="008B2E0B"/>
    <w:pPr>
      <w:widowControl w:val="0"/>
      <w:numPr>
        <w:ilvl w:val="1"/>
        <w:numId w:val="2"/>
      </w:numPr>
      <w:tabs>
        <w:tab w:val="left" w:pos="-850"/>
      </w:tabs>
      <w:spacing w:after="0" w:line="288" w:lineRule="auto"/>
      <w:ind w:left="578" w:hanging="578"/>
      <w:contextualSpacing/>
    </w:pPr>
    <w:rPr>
      <w:rFonts w:ascii="Arial" w:hAnsi="Arial"/>
    </w:rPr>
  </w:style>
  <w:style w:type="paragraph" w:styleId="Overskrift1">
    <w:name w:val="heading 1"/>
    <w:basedOn w:val="Normal"/>
    <w:next w:val="Normal"/>
    <w:link w:val="Overskrift1Tegn"/>
    <w:uiPriority w:val="9"/>
    <w:qFormat/>
    <w:rsid w:val="00586838"/>
    <w:pPr>
      <w:keepNext/>
      <w:keepLines/>
      <w:numPr>
        <w:ilvl w:val="0"/>
      </w:numPr>
      <w:tabs>
        <w:tab w:val="clear" w:pos="-850"/>
      </w:tabs>
      <w:spacing w:after="240"/>
      <w:outlineLvl w:val="0"/>
    </w:pPr>
    <w:rPr>
      <w:rFonts w:eastAsiaTheme="majorEastAsia" w:cstheme="majorBidi"/>
      <w:b/>
      <w:sz w:val="32"/>
      <w:szCs w:val="32"/>
    </w:rPr>
  </w:style>
  <w:style w:type="paragraph" w:styleId="Overskrift2">
    <w:name w:val="heading 2"/>
    <w:basedOn w:val="Normal"/>
    <w:next w:val="Normal"/>
    <w:link w:val="Overskrift2Tegn"/>
    <w:uiPriority w:val="9"/>
    <w:unhideWhenUsed/>
    <w:qFormat/>
    <w:rsid w:val="005334DF"/>
    <w:pPr>
      <w:keepNext/>
      <w:keepLines/>
      <w:spacing w:before="40" w:line="240" w:lineRule="auto"/>
      <w:outlineLvl w:val="1"/>
    </w:pPr>
    <w:rPr>
      <w:rFonts w:asciiTheme="majorHAnsi" w:eastAsiaTheme="majorEastAsia" w:hAnsiTheme="majorHAnsi" w:cstheme="majorBidi"/>
      <w:color w:val="000000" w:themeColor="text1"/>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D4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snitsoverskrift">
    <w:name w:val="Afsnitsoverskrift"/>
    <w:basedOn w:val="Normal"/>
    <w:next w:val="Normal"/>
    <w:rsid w:val="000B44DF"/>
    <w:pPr>
      <w:overflowPunct w:val="0"/>
      <w:autoSpaceDE w:val="0"/>
      <w:autoSpaceDN w:val="0"/>
      <w:adjustRightInd w:val="0"/>
      <w:spacing w:after="220" w:line="264" w:lineRule="auto"/>
      <w:textAlignment w:val="baseline"/>
    </w:pPr>
    <w:rPr>
      <w:rFonts w:ascii="Century Schoolbook" w:eastAsia="Times New Roman" w:hAnsi="Century Schoolbook" w:cs="Times New Roman"/>
      <w:b/>
      <w:sz w:val="27"/>
      <w:szCs w:val="20"/>
      <w:lang w:eastAsia="da-DK"/>
    </w:rPr>
  </w:style>
  <w:style w:type="paragraph" w:customStyle="1" w:styleId="BodyText21">
    <w:name w:val="Body Text 21"/>
    <w:basedOn w:val="Normal"/>
    <w:rsid w:val="000B44DF"/>
    <w:pPr>
      <w:tabs>
        <w:tab w:val="left" w:pos="0"/>
        <w:tab w:val="left" w:pos="567"/>
        <w:tab w:val="left" w:pos="1701"/>
        <w:tab w:val="left" w:pos="2834"/>
        <w:tab w:val="left" w:pos="3403"/>
        <w:tab w:val="left" w:pos="4253"/>
        <w:tab w:val="left" w:pos="5103"/>
        <w:tab w:val="left" w:pos="5953"/>
        <w:tab w:val="left" w:pos="6803"/>
        <w:tab w:val="left" w:pos="7653"/>
        <w:tab w:val="left" w:pos="8503"/>
        <w:tab w:val="left" w:pos="9353"/>
      </w:tabs>
      <w:overflowPunct w:val="0"/>
      <w:autoSpaceDE w:val="0"/>
      <w:autoSpaceDN w:val="0"/>
      <w:adjustRightInd w:val="0"/>
      <w:ind w:left="567" w:hanging="567"/>
      <w:textAlignment w:val="baseline"/>
    </w:pPr>
    <w:rPr>
      <w:rFonts w:ascii="Century Schoolbook" w:eastAsia="Times New Roman" w:hAnsi="Century Schoolbook" w:cs="Times New Roman"/>
      <w:szCs w:val="20"/>
      <w:lang w:eastAsia="da-DK"/>
    </w:rPr>
  </w:style>
  <w:style w:type="character" w:customStyle="1" w:styleId="Overskrift1Tegn">
    <w:name w:val="Overskrift 1 Tegn"/>
    <w:basedOn w:val="Standardskrifttypeiafsnit"/>
    <w:link w:val="Overskrift1"/>
    <w:uiPriority w:val="9"/>
    <w:rsid w:val="00116829"/>
    <w:rPr>
      <w:rFonts w:ascii="Arial" w:eastAsiaTheme="majorEastAsia" w:hAnsi="Arial" w:cstheme="majorBidi"/>
      <w:b/>
      <w:sz w:val="32"/>
      <w:szCs w:val="32"/>
    </w:rPr>
  </w:style>
  <w:style w:type="character" w:customStyle="1" w:styleId="Overskrift2Tegn">
    <w:name w:val="Overskrift 2 Tegn"/>
    <w:basedOn w:val="Standardskrifttypeiafsnit"/>
    <w:link w:val="Overskrift2"/>
    <w:uiPriority w:val="9"/>
    <w:rsid w:val="005334DF"/>
    <w:rPr>
      <w:rFonts w:asciiTheme="majorHAnsi" w:eastAsiaTheme="majorEastAsia" w:hAnsiTheme="majorHAnsi" w:cstheme="majorBidi"/>
      <w:color w:val="000000" w:themeColor="text1"/>
      <w:sz w:val="24"/>
      <w:szCs w:val="26"/>
    </w:rPr>
  </w:style>
  <w:style w:type="paragraph" w:styleId="Listeafsnit">
    <w:name w:val="List Paragraph"/>
    <w:basedOn w:val="Normal"/>
    <w:uiPriority w:val="34"/>
    <w:qFormat/>
    <w:rsid w:val="003231F9"/>
    <w:pPr>
      <w:ind w:left="720"/>
    </w:pPr>
  </w:style>
  <w:style w:type="paragraph" w:styleId="Ingenafstand">
    <w:name w:val="No Spacing"/>
    <w:basedOn w:val="Normal"/>
    <w:uiPriority w:val="1"/>
    <w:qFormat/>
    <w:rsid w:val="003231F9"/>
    <w:pPr>
      <w:numPr>
        <w:ilvl w:val="0"/>
        <w:numId w:val="0"/>
      </w:numPr>
      <w:ind w:left="576"/>
    </w:pPr>
  </w:style>
  <w:style w:type="paragraph" w:styleId="Sidehoved">
    <w:name w:val="header"/>
    <w:basedOn w:val="Normal"/>
    <w:link w:val="SidehovedTegn"/>
    <w:unhideWhenUsed/>
    <w:rsid w:val="00E40C66"/>
    <w:pPr>
      <w:tabs>
        <w:tab w:val="clear" w:pos="-850"/>
        <w:tab w:val="center" w:pos="4819"/>
        <w:tab w:val="right" w:pos="9638"/>
      </w:tabs>
      <w:spacing w:line="240" w:lineRule="auto"/>
    </w:pPr>
  </w:style>
  <w:style w:type="character" w:customStyle="1" w:styleId="SidehovedTegn">
    <w:name w:val="Sidehoved Tegn"/>
    <w:basedOn w:val="Standardskrifttypeiafsnit"/>
    <w:link w:val="Sidehoved"/>
    <w:rsid w:val="00E40C66"/>
  </w:style>
  <w:style w:type="paragraph" w:styleId="Sidefod">
    <w:name w:val="footer"/>
    <w:basedOn w:val="Normal"/>
    <w:link w:val="SidefodTegn"/>
    <w:uiPriority w:val="99"/>
    <w:unhideWhenUsed/>
    <w:rsid w:val="00E40C66"/>
    <w:pPr>
      <w:tabs>
        <w:tab w:val="clear" w:pos="-850"/>
        <w:tab w:val="center" w:pos="4819"/>
        <w:tab w:val="right" w:pos="9638"/>
      </w:tabs>
      <w:spacing w:line="240" w:lineRule="auto"/>
    </w:pPr>
  </w:style>
  <w:style w:type="character" w:customStyle="1" w:styleId="SidefodTegn">
    <w:name w:val="Sidefod Tegn"/>
    <w:basedOn w:val="Standardskrifttypeiafsnit"/>
    <w:link w:val="Sidefod"/>
    <w:uiPriority w:val="99"/>
    <w:rsid w:val="00E40C66"/>
  </w:style>
  <w:style w:type="character" w:styleId="Pladsholdertekst">
    <w:name w:val="Placeholder Text"/>
    <w:basedOn w:val="Standardskrifttypeiafsnit"/>
    <w:uiPriority w:val="99"/>
    <w:semiHidden/>
    <w:rsid w:val="00E40C66"/>
    <w:rPr>
      <w:color w:val="808080"/>
    </w:rPr>
  </w:style>
  <w:style w:type="character" w:styleId="Kommentarhenvisning">
    <w:name w:val="annotation reference"/>
    <w:basedOn w:val="Standardskrifttypeiafsnit"/>
    <w:uiPriority w:val="99"/>
    <w:semiHidden/>
    <w:unhideWhenUsed/>
    <w:rsid w:val="004136CD"/>
    <w:rPr>
      <w:sz w:val="16"/>
      <w:szCs w:val="16"/>
    </w:rPr>
  </w:style>
  <w:style w:type="paragraph" w:styleId="Kommentartekst">
    <w:name w:val="annotation text"/>
    <w:basedOn w:val="Normal"/>
    <w:link w:val="KommentartekstTegn"/>
    <w:uiPriority w:val="99"/>
    <w:unhideWhenUsed/>
    <w:rsid w:val="004136CD"/>
    <w:pPr>
      <w:spacing w:line="240" w:lineRule="auto"/>
    </w:pPr>
    <w:rPr>
      <w:sz w:val="20"/>
      <w:szCs w:val="20"/>
    </w:rPr>
  </w:style>
  <w:style w:type="character" w:customStyle="1" w:styleId="KommentartekstTegn">
    <w:name w:val="Kommentartekst Tegn"/>
    <w:basedOn w:val="Standardskrifttypeiafsnit"/>
    <w:link w:val="Kommentartekst"/>
    <w:uiPriority w:val="99"/>
    <w:rsid w:val="004136CD"/>
    <w:rPr>
      <w:sz w:val="20"/>
      <w:szCs w:val="20"/>
    </w:rPr>
  </w:style>
  <w:style w:type="paragraph" w:styleId="Kommentaremne">
    <w:name w:val="annotation subject"/>
    <w:basedOn w:val="Kommentartekst"/>
    <w:next w:val="Kommentartekst"/>
    <w:link w:val="KommentaremneTegn"/>
    <w:uiPriority w:val="99"/>
    <w:semiHidden/>
    <w:unhideWhenUsed/>
    <w:rsid w:val="004136CD"/>
    <w:rPr>
      <w:b/>
      <w:bCs/>
    </w:rPr>
  </w:style>
  <w:style w:type="character" w:customStyle="1" w:styleId="KommentaremneTegn">
    <w:name w:val="Kommentaremne Tegn"/>
    <w:basedOn w:val="KommentartekstTegn"/>
    <w:link w:val="Kommentaremne"/>
    <w:uiPriority w:val="99"/>
    <w:semiHidden/>
    <w:rsid w:val="004136CD"/>
    <w:rPr>
      <w:b/>
      <w:bCs/>
      <w:sz w:val="20"/>
      <w:szCs w:val="20"/>
    </w:rPr>
  </w:style>
  <w:style w:type="paragraph" w:styleId="Markeringsbobletekst">
    <w:name w:val="Balloon Text"/>
    <w:basedOn w:val="Normal"/>
    <w:link w:val="MarkeringsbobletekstTegn"/>
    <w:uiPriority w:val="99"/>
    <w:semiHidden/>
    <w:unhideWhenUsed/>
    <w:rsid w:val="004136C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136CD"/>
    <w:rPr>
      <w:rFonts w:ascii="Segoe UI" w:hAnsi="Segoe UI" w:cs="Segoe UI"/>
      <w:sz w:val="18"/>
      <w:szCs w:val="18"/>
    </w:rPr>
  </w:style>
  <w:style w:type="character" w:styleId="Fodnotehenvisning">
    <w:name w:val="footnote reference"/>
    <w:semiHidden/>
    <w:rsid w:val="00E66984"/>
    <w:rPr>
      <w:vertAlign w:val="superscript"/>
    </w:rPr>
  </w:style>
  <w:style w:type="paragraph" w:styleId="Fodnotetekst">
    <w:name w:val="footnote text"/>
    <w:basedOn w:val="Normal"/>
    <w:link w:val="FodnotetekstTegn"/>
    <w:semiHidden/>
    <w:rsid w:val="00C55E2A"/>
    <w:pPr>
      <w:widowControl/>
      <w:numPr>
        <w:ilvl w:val="0"/>
        <w:numId w:val="0"/>
      </w:numPr>
      <w:tabs>
        <w:tab w:val="clear" w:pos="-850"/>
      </w:tabs>
      <w:overflowPunct w:val="0"/>
      <w:autoSpaceDE w:val="0"/>
      <w:autoSpaceDN w:val="0"/>
      <w:adjustRightInd w:val="0"/>
      <w:spacing w:line="240" w:lineRule="auto"/>
      <w:contextualSpacing w:val="0"/>
      <w:textAlignment w:val="baseline"/>
    </w:pPr>
    <w:rPr>
      <w:rFonts w:ascii="Century Schoolbook" w:eastAsia="Times New Roman" w:hAnsi="Century Schoolbook" w:cs="Times New Roman"/>
      <w:sz w:val="20"/>
      <w:szCs w:val="20"/>
      <w:lang w:eastAsia="da-DK"/>
    </w:rPr>
  </w:style>
  <w:style w:type="character" w:customStyle="1" w:styleId="FodnotetekstTegn">
    <w:name w:val="Fodnotetekst Tegn"/>
    <w:basedOn w:val="Standardskrifttypeiafsnit"/>
    <w:link w:val="Fodnotetekst"/>
    <w:semiHidden/>
    <w:rsid w:val="00C55E2A"/>
    <w:rPr>
      <w:rFonts w:ascii="Century Schoolbook" w:eastAsia="Times New Roman" w:hAnsi="Century Schoolbook" w:cs="Times New Roman"/>
      <w:sz w:val="20"/>
      <w:szCs w:val="20"/>
      <w:lang w:eastAsia="da-DK"/>
    </w:rPr>
  </w:style>
  <w:style w:type="paragraph" w:styleId="Overskrift">
    <w:name w:val="TOC Heading"/>
    <w:basedOn w:val="Overskrift1"/>
    <w:next w:val="Normal"/>
    <w:uiPriority w:val="39"/>
    <w:unhideWhenUsed/>
    <w:qFormat/>
    <w:rsid w:val="00B13C86"/>
    <w:pPr>
      <w:widowControl/>
      <w:numPr>
        <w:numId w:val="0"/>
      </w:numPr>
      <w:spacing w:before="240" w:after="0" w:line="259" w:lineRule="auto"/>
      <w:contextualSpacing w:val="0"/>
      <w:outlineLvl w:val="9"/>
    </w:pPr>
    <w:rPr>
      <w:rFonts w:asciiTheme="majorHAnsi" w:hAnsiTheme="majorHAnsi"/>
      <w:b w:val="0"/>
      <w:color w:val="2F5496" w:themeColor="accent1" w:themeShade="BF"/>
    </w:rPr>
  </w:style>
  <w:style w:type="paragraph" w:styleId="Indholdsfortegnelse1">
    <w:name w:val="toc 1"/>
    <w:basedOn w:val="Normal"/>
    <w:next w:val="Normal"/>
    <w:autoRedefine/>
    <w:uiPriority w:val="39"/>
    <w:unhideWhenUsed/>
    <w:rsid w:val="00B13C86"/>
    <w:pPr>
      <w:numPr>
        <w:ilvl w:val="0"/>
        <w:numId w:val="0"/>
      </w:numPr>
      <w:tabs>
        <w:tab w:val="clear" w:pos="-850"/>
        <w:tab w:val="left" w:pos="660"/>
        <w:tab w:val="right" w:pos="9628"/>
      </w:tabs>
      <w:spacing w:after="100"/>
      <w:ind w:left="-578"/>
    </w:pPr>
  </w:style>
  <w:style w:type="character" w:styleId="Hyperlink">
    <w:name w:val="Hyperlink"/>
    <w:basedOn w:val="Standardskrifttypeiafsnit"/>
    <w:uiPriority w:val="99"/>
    <w:unhideWhenUsed/>
    <w:rsid w:val="00B13C86"/>
    <w:rPr>
      <w:color w:val="0563C1" w:themeColor="hyperlink"/>
      <w:u w:val="single"/>
    </w:rPr>
  </w:style>
  <w:style w:type="paragraph" w:styleId="Slutnotetekst">
    <w:name w:val="endnote text"/>
    <w:basedOn w:val="Normal"/>
    <w:link w:val="SlutnotetekstTegn"/>
    <w:uiPriority w:val="99"/>
    <w:semiHidden/>
    <w:unhideWhenUsed/>
    <w:rsid w:val="00836278"/>
    <w:pPr>
      <w:spacing w:line="240" w:lineRule="auto"/>
    </w:pPr>
    <w:rPr>
      <w:sz w:val="20"/>
      <w:szCs w:val="20"/>
    </w:rPr>
  </w:style>
  <w:style w:type="character" w:customStyle="1" w:styleId="SlutnotetekstTegn">
    <w:name w:val="Slutnotetekst Tegn"/>
    <w:basedOn w:val="Standardskrifttypeiafsnit"/>
    <w:link w:val="Slutnotetekst"/>
    <w:uiPriority w:val="99"/>
    <w:semiHidden/>
    <w:rsid w:val="00836278"/>
    <w:rPr>
      <w:rFonts w:ascii="Arial" w:hAnsi="Arial"/>
      <w:sz w:val="20"/>
      <w:szCs w:val="20"/>
    </w:rPr>
  </w:style>
  <w:style w:type="character" w:styleId="Slutnotehenvisning">
    <w:name w:val="endnote reference"/>
    <w:basedOn w:val="Standardskrifttypeiafsnit"/>
    <w:uiPriority w:val="99"/>
    <w:semiHidden/>
    <w:unhideWhenUsed/>
    <w:rsid w:val="00836278"/>
    <w:rPr>
      <w:vertAlign w:val="superscript"/>
    </w:rPr>
  </w:style>
  <w:style w:type="paragraph" w:styleId="Korrektur">
    <w:name w:val="Revision"/>
    <w:hidden/>
    <w:uiPriority w:val="99"/>
    <w:semiHidden/>
    <w:rsid w:val="009822C0"/>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14646">
      <w:bodyDiv w:val="1"/>
      <w:marLeft w:val="0"/>
      <w:marRight w:val="0"/>
      <w:marTop w:val="0"/>
      <w:marBottom w:val="0"/>
      <w:divBdr>
        <w:top w:val="none" w:sz="0" w:space="0" w:color="auto"/>
        <w:left w:val="none" w:sz="0" w:space="0" w:color="auto"/>
        <w:bottom w:val="none" w:sz="0" w:space="0" w:color="auto"/>
        <w:right w:val="none" w:sz="0" w:space="0" w:color="auto"/>
      </w:divBdr>
      <w:divsChild>
        <w:div w:id="1291208162">
          <w:marLeft w:val="0"/>
          <w:marRight w:val="0"/>
          <w:marTop w:val="0"/>
          <w:marBottom w:val="0"/>
          <w:divBdr>
            <w:top w:val="none" w:sz="0" w:space="0" w:color="auto"/>
            <w:left w:val="none" w:sz="0" w:space="0" w:color="auto"/>
            <w:bottom w:val="none" w:sz="0" w:space="0" w:color="auto"/>
            <w:right w:val="none" w:sz="0" w:space="0" w:color="auto"/>
          </w:divBdr>
          <w:divsChild>
            <w:div w:id="863137048">
              <w:marLeft w:val="0"/>
              <w:marRight w:val="0"/>
              <w:marTop w:val="0"/>
              <w:marBottom w:val="0"/>
              <w:divBdr>
                <w:top w:val="none" w:sz="0" w:space="0" w:color="auto"/>
                <w:left w:val="none" w:sz="0" w:space="0" w:color="auto"/>
                <w:bottom w:val="none" w:sz="0" w:space="0" w:color="auto"/>
                <w:right w:val="none" w:sz="0" w:space="0" w:color="auto"/>
              </w:divBdr>
              <w:divsChild>
                <w:div w:id="2173319">
                  <w:marLeft w:val="0"/>
                  <w:marRight w:val="0"/>
                  <w:marTop w:val="0"/>
                  <w:marBottom w:val="0"/>
                  <w:divBdr>
                    <w:top w:val="none" w:sz="0" w:space="0" w:color="auto"/>
                    <w:left w:val="none" w:sz="0" w:space="0" w:color="auto"/>
                    <w:bottom w:val="none" w:sz="0" w:space="0" w:color="auto"/>
                    <w:right w:val="none" w:sz="0" w:space="0" w:color="auto"/>
                  </w:divBdr>
                  <w:divsChild>
                    <w:div w:id="1308900523">
                      <w:marLeft w:val="0"/>
                      <w:marRight w:val="0"/>
                      <w:marTop w:val="0"/>
                      <w:marBottom w:val="0"/>
                      <w:divBdr>
                        <w:top w:val="none" w:sz="0" w:space="0" w:color="auto"/>
                        <w:left w:val="none" w:sz="0" w:space="0" w:color="auto"/>
                        <w:bottom w:val="none" w:sz="0" w:space="0" w:color="auto"/>
                        <w:right w:val="none" w:sz="0" w:space="0" w:color="auto"/>
                      </w:divBdr>
                      <w:divsChild>
                        <w:div w:id="1493565799">
                          <w:marLeft w:val="0"/>
                          <w:marRight w:val="0"/>
                          <w:marTop w:val="0"/>
                          <w:marBottom w:val="0"/>
                          <w:divBdr>
                            <w:top w:val="none" w:sz="0" w:space="0" w:color="auto"/>
                            <w:left w:val="none" w:sz="0" w:space="0" w:color="auto"/>
                            <w:bottom w:val="none" w:sz="0" w:space="0" w:color="auto"/>
                            <w:right w:val="none" w:sz="0" w:space="0" w:color="auto"/>
                          </w:divBdr>
                          <w:divsChild>
                            <w:div w:id="16264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61329">
      <w:bodyDiv w:val="1"/>
      <w:marLeft w:val="0"/>
      <w:marRight w:val="0"/>
      <w:marTop w:val="0"/>
      <w:marBottom w:val="0"/>
      <w:divBdr>
        <w:top w:val="none" w:sz="0" w:space="0" w:color="auto"/>
        <w:left w:val="none" w:sz="0" w:space="0" w:color="auto"/>
        <w:bottom w:val="none" w:sz="0" w:space="0" w:color="auto"/>
        <w:right w:val="none" w:sz="0" w:space="0" w:color="auto"/>
      </w:divBdr>
      <w:divsChild>
        <w:div w:id="644116791">
          <w:marLeft w:val="0"/>
          <w:marRight w:val="0"/>
          <w:marTop w:val="0"/>
          <w:marBottom w:val="0"/>
          <w:divBdr>
            <w:top w:val="none" w:sz="0" w:space="0" w:color="auto"/>
            <w:left w:val="none" w:sz="0" w:space="0" w:color="auto"/>
            <w:bottom w:val="none" w:sz="0" w:space="0" w:color="auto"/>
            <w:right w:val="none" w:sz="0" w:space="0" w:color="auto"/>
          </w:divBdr>
        </w:div>
        <w:div w:id="1889489763">
          <w:marLeft w:val="0"/>
          <w:marRight w:val="0"/>
          <w:marTop w:val="0"/>
          <w:marBottom w:val="0"/>
          <w:divBdr>
            <w:top w:val="none" w:sz="0" w:space="0" w:color="auto"/>
            <w:left w:val="none" w:sz="0" w:space="0" w:color="auto"/>
            <w:bottom w:val="none" w:sz="0" w:space="0" w:color="auto"/>
            <w:right w:val="none" w:sz="0" w:space="0" w:color="auto"/>
          </w:divBdr>
        </w:div>
        <w:div w:id="209729333">
          <w:marLeft w:val="0"/>
          <w:marRight w:val="0"/>
          <w:marTop w:val="0"/>
          <w:marBottom w:val="0"/>
          <w:divBdr>
            <w:top w:val="none" w:sz="0" w:space="0" w:color="auto"/>
            <w:left w:val="none" w:sz="0" w:space="0" w:color="auto"/>
            <w:bottom w:val="none" w:sz="0" w:space="0" w:color="auto"/>
            <w:right w:val="none" w:sz="0" w:space="0" w:color="auto"/>
          </w:divBdr>
        </w:div>
      </w:divsChild>
    </w:div>
    <w:div w:id="544030193">
      <w:bodyDiv w:val="1"/>
      <w:marLeft w:val="0"/>
      <w:marRight w:val="0"/>
      <w:marTop w:val="0"/>
      <w:marBottom w:val="0"/>
      <w:divBdr>
        <w:top w:val="none" w:sz="0" w:space="0" w:color="auto"/>
        <w:left w:val="none" w:sz="0" w:space="0" w:color="auto"/>
        <w:bottom w:val="none" w:sz="0" w:space="0" w:color="auto"/>
        <w:right w:val="none" w:sz="0" w:space="0" w:color="auto"/>
      </w:divBdr>
      <w:divsChild>
        <w:div w:id="240414085">
          <w:marLeft w:val="0"/>
          <w:marRight w:val="0"/>
          <w:marTop w:val="0"/>
          <w:marBottom w:val="0"/>
          <w:divBdr>
            <w:top w:val="none" w:sz="0" w:space="0" w:color="auto"/>
            <w:left w:val="none" w:sz="0" w:space="0" w:color="auto"/>
            <w:bottom w:val="none" w:sz="0" w:space="0" w:color="auto"/>
            <w:right w:val="none" w:sz="0" w:space="0" w:color="auto"/>
          </w:divBdr>
        </w:div>
        <w:div w:id="602111435">
          <w:marLeft w:val="0"/>
          <w:marRight w:val="0"/>
          <w:marTop w:val="0"/>
          <w:marBottom w:val="0"/>
          <w:divBdr>
            <w:top w:val="none" w:sz="0" w:space="0" w:color="auto"/>
            <w:left w:val="none" w:sz="0" w:space="0" w:color="auto"/>
            <w:bottom w:val="none" w:sz="0" w:space="0" w:color="auto"/>
            <w:right w:val="none" w:sz="0" w:space="0" w:color="auto"/>
          </w:divBdr>
        </w:div>
        <w:div w:id="2074155130">
          <w:marLeft w:val="0"/>
          <w:marRight w:val="0"/>
          <w:marTop w:val="0"/>
          <w:marBottom w:val="0"/>
          <w:divBdr>
            <w:top w:val="none" w:sz="0" w:space="0" w:color="auto"/>
            <w:left w:val="none" w:sz="0" w:space="0" w:color="auto"/>
            <w:bottom w:val="none" w:sz="0" w:space="0" w:color="auto"/>
            <w:right w:val="none" w:sz="0" w:space="0" w:color="auto"/>
          </w:divBdr>
        </w:div>
      </w:divsChild>
    </w:div>
    <w:div w:id="709381446">
      <w:bodyDiv w:val="1"/>
      <w:marLeft w:val="0"/>
      <w:marRight w:val="0"/>
      <w:marTop w:val="0"/>
      <w:marBottom w:val="0"/>
      <w:divBdr>
        <w:top w:val="none" w:sz="0" w:space="0" w:color="auto"/>
        <w:left w:val="none" w:sz="0" w:space="0" w:color="auto"/>
        <w:bottom w:val="none" w:sz="0" w:space="0" w:color="auto"/>
        <w:right w:val="none" w:sz="0" w:space="0" w:color="auto"/>
      </w:divBdr>
      <w:divsChild>
        <w:div w:id="1446341472">
          <w:marLeft w:val="0"/>
          <w:marRight w:val="0"/>
          <w:marTop w:val="0"/>
          <w:marBottom w:val="0"/>
          <w:divBdr>
            <w:top w:val="none" w:sz="0" w:space="0" w:color="auto"/>
            <w:left w:val="none" w:sz="0" w:space="0" w:color="auto"/>
            <w:bottom w:val="none" w:sz="0" w:space="0" w:color="auto"/>
            <w:right w:val="none" w:sz="0" w:space="0" w:color="auto"/>
          </w:divBdr>
        </w:div>
        <w:div w:id="1469320482">
          <w:marLeft w:val="0"/>
          <w:marRight w:val="0"/>
          <w:marTop w:val="0"/>
          <w:marBottom w:val="0"/>
          <w:divBdr>
            <w:top w:val="none" w:sz="0" w:space="0" w:color="auto"/>
            <w:left w:val="none" w:sz="0" w:space="0" w:color="auto"/>
            <w:bottom w:val="none" w:sz="0" w:space="0" w:color="auto"/>
            <w:right w:val="none" w:sz="0" w:space="0" w:color="auto"/>
          </w:divBdr>
        </w:div>
        <w:div w:id="1668823611">
          <w:marLeft w:val="0"/>
          <w:marRight w:val="0"/>
          <w:marTop w:val="0"/>
          <w:marBottom w:val="0"/>
          <w:divBdr>
            <w:top w:val="none" w:sz="0" w:space="0" w:color="auto"/>
            <w:left w:val="none" w:sz="0" w:space="0" w:color="auto"/>
            <w:bottom w:val="none" w:sz="0" w:space="0" w:color="auto"/>
            <w:right w:val="none" w:sz="0" w:space="0" w:color="auto"/>
          </w:divBdr>
        </w:div>
        <w:div w:id="1954438429">
          <w:marLeft w:val="0"/>
          <w:marRight w:val="0"/>
          <w:marTop w:val="0"/>
          <w:marBottom w:val="0"/>
          <w:divBdr>
            <w:top w:val="none" w:sz="0" w:space="0" w:color="auto"/>
            <w:left w:val="none" w:sz="0" w:space="0" w:color="auto"/>
            <w:bottom w:val="none" w:sz="0" w:space="0" w:color="auto"/>
            <w:right w:val="none" w:sz="0" w:space="0" w:color="auto"/>
          </w:divBdr>
        </w:div>
        <w:div w:id="1338311455">
          <w:marLeft w:val="0"/>
          <w:marRight w:val="0"/>
          <w:marTop w:val="0"/>
          <w:marBottom w:val="0"/>
          <w:divBdr>
            <w:top w:val="none" w:sz="0" w:space="0" w:color="auto"/>
            <w:left w:val="none" w:sz="0" w:space="0" w:color="auto"/>
            <w:bottom w:val="none" w:sz="0" w:space="0" w:color="auto"/>
            <w:right w:val="none" w:sz="0" w:space="0" w:color="auto"/>
          </w:divBdr>
        </w:div>
        <w:div w:id="893812108">
          <w:marLeft w:val="0"/>
          <w:marRight w:val="0"/>
          <w:marTop w:val="0"/>
          <w:marBottom w:val="0"/>
          <w:divBdr>
            <w:top w:val="none" w:sz="0" w:space="0" w:color="auto"/>
            <w:left w:val="none" w:sz="0" w:space="0" w:color="auto"/>
            <w:bottom w:val="none" w:sz="0" w:space="0" w:color="auto"/>
            <w:right w:val="none" w:sz="0" w:space="0" w:color="auto"/>
          </w:divBdr>
        </w:div>
        <w:div w:id="22487655">
          <w:marLeft w:val="0"/>
          <w:marRight w:val="0"/>
          <w:marTop w:val="0"/>
          <w:marBottom w:val="0"/>
          <w:divBdr>
            <w:top w:val="none" w:sz="0" w:space="0" w:color="auto"/>
            <w:left w:val="none" w:sz="0" w:space="0" w:color="auto"/>
            <w:bottom w:val="none" w:sz="0" w:space="0" w:color="auto"/>
            <w:right w:val="none" w:sz="0" w:space="0" w:color="auto"/>
          </w:divBdr>
        </w:div>
        <w:div w:id="1489978153">
          <w:marLeft w:val="0"/>
          <w:marRight w:val="0"/>
          <w:marTop w:val="0"/>
          <w:marBottom w:val="0"/>
          <w:divBdr>
            <w:top w:val="none" w:sz="0" w:space="0" w:color="auto"/>
            <w:left w:val="none" w:sz="0" w:space="0" w:color="auto"/>
            <w:bottom w:val="none" w:sz="0" w:space="0" w:color="auto"/>
            <w:right w:val="none" w:sz="0" w:space="0" w:color="auto"/>
          </w:divBdr>
        </w:div>
        <w:div w:id="673382943">
          <w:marLeft w:val="0"/>
          <w:marRight w:val="0"/>
          <w:marTop w:val="0"/>
          <w:marBottom w:val="0"/>
          <w:divBdr>
            <w:top w:val="none" w:sz="0" w:space="0" w:color="auto"/>
            <w:left w:val="none" w:sz="0" w:space="0" w:color="auto"/>
            <w:bottom w:val="none" w:sz="0" w:space="0" w:color="auto"/>
            <w:right w:val="none" w:sz="0" w:space="0" w:color="auto"/>
          </w:divBdr>
        </w:div>
        <w:div w:id="2004891441">
          <w:marLeft w:val="0"/>
          <w:marRight w:val="0"/>
          <w:marTop w:val="0"/>
          <w:marBottom w:val="0"/>
          <w:divBdr>
            <w:top w:val="none" w:sz="0" w:space="0" w:color="auto"/>
            <w:left w:val="none" w:sz="0" w:space="0" w:color="auto"/>
            <w:bottom w:val="none" w:sz="0" w:space="0" w:color="auto"/>
            <w:right w:val="none" w:sz="0" w:space="0" w:color="auto"/>
          </w:divBdr>
        </w:div>
        <w:div w:id="1634556929">
          <w:marLeft w:val="0"/>
          <w:marRight w:val="0"/>
          <w:marTop w:val="0"/>
          <w:marBottom w:val="0"/>
          <w:divBdr>
            <w:top w:val="none" w:sz="0" w:space="0" w:color="auto"/>
            <w:left w:val="none" w:sz="0" w:space="0" w:color="auto"/>
            <w:bottom w:val="none" w:sz="0" w:space="0" w:color="auto"/>
            <w:right w:val="none" w:sz="0" w:space="0" w:color="auto"/>
          </w:divBdr>
        </w:div>
      </w:divsChild>
    </w:div>
    <w:div w:id="170894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CBBB9-8D0B-447C-9B9B-4AB6504A6C06}">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ap:Template>
  <ap:TotalTime>156</ap:TotalTime>
  <ap:Pages>13</ap:Pages>
  <ap:Words>3435</ap:Words>
  <ap:Characters>20955</ap:Characters>
  <ap:Application>Microsoft Office Word</ap:Application>
  <ap:DocSecurity>0</ap:DocSecurity>
  <ap:Lines>174</ap:Lines>
  <ap:Paragraphs>48</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24342</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Frederik William Bindner</dc:creator>
  <keywords>class='Internal'</keywords>
  <dc:description/>
  <lastModifiedBy>Morten Erlang</lastModifiedBy>
  <revision>6</revision>
  <lastPrinted>2019-08-16T10:51:00.0000000Z</lastPrinted>
  <dcterms:created xsi:type="dcterms:W3CDTF">2020-07-28T11:23:00.0000000Z</dcterms:created>
  <dcterms:modified xsi:type="dcterms:W3CDTF">2020-09-15T07:09:00.0000000Z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k_DokumentNr">
    <vt:lpwstr>d2020-10785</vt:lpwstr>
  </op:property>
  <op:property fmtid="{D5CDD505-2E9C-101B-9397-08002B2CF9AE}" pid="3" name="Dok_DokumentTitel">
    <vt:lpwstr>Nettilslutningsaftale for tilslutning med begrænset netadgang 0.1</vt:lpwstr>
  </op:property>
  <op:property fmtid="{D5CDD505-2E9C-101B-9397-08002B2CF9AE}" pid="4" name="Dok_AnsvarligFuldeNavn">
    <vt:lpwstr>Louise Jakobsen</vt:lpwstr>
  </op:property>
  <op:property fmtid="{D5CDD505-2E9C-101B-9397-08002B2CF9AE}" pid="5" name="Dok_AnsvarligInitialer">
    <vt:lpwstr>LJA</vt:lpwstr>
  </op:property>
  <op:property fmtid="{D5CDD505-2E9C-101B-9397-08002B2CF9AE}" pid="6" name="Dok_AnsvarligEmail">
    <vt:lpwstr>lja@danskenergi.dk</vt:lpwstr>
  </op:property>
  <op:property fmtid="{D5CDD505-2E9C-101B-9397-08002B2CF9AE}" pid="7" name="Dok_AnsvarligTelefon">
    <vt:lpwstr>+45 20 90 77 78</vt:lpwstr>
  </op:property>
  <op:property fmtid="{D5CDD505-2E9C-101B-9397-08002B2CF9AE}" pid="8" name="Dok_SekretærFuldeNavn">
    <vt:lpwstr/>
  </op:property>
  <op:property fmtid="{D5CDD505-2E9C-101B-9397-08002B2CF9AE}" pid="9" name="Dok_SekretærInitialer">
    <vt:lpwstr/>
  </op:property>
  <op:property fmtid="{D5CDD505-2E9C-101B-9397-08002B2CF9AE}" pid="10" name="Dok_SekretærEmail">
    <vt:lpwstr/>
  </op:property>
  <op:property fmtid="{D5CDD505-2E9C-101B-9397-08002B2CF9AE}" pid="11" name="Dok_SekretærTelefon">
    <vt:lpwstr/>
  </op:property>
  <op:property fmtid="{D5CDD505-2E9C-101B-9397-08002B2CF9AE}" pid="12" name="Dok_AnsvarligUnderskriverFuldeNavn">
    <vt:lpwstr/>
  </op:property>
  <op:property fmtid="{D5CDD505-2E9C-101B-9397-08002B2CF9AE}" pid="13" name="Dok_DokumentRetning">
    <vt:lpwstr/>
  </op:property>
  <op:property fmtid="{D5CDD505-2E9C-101B-9397-08002B2CF9AE}" pid="14" name="Dok_ModtagerAfsenderFuldeNavn">
    <vt:lpwstr/>
  </op:property>
  <op:property fmtid="{D5CDD505-2E9C-101B-9397-08002B2CF9AE}" pid="15" name="Dok_ArbejdsGruppe">
    <vt:lpwstr/>
  </op:property>
  <op:property fmtid="{D5CDD505-2E9C-101B-9397-08002B2CF9AE}" pid="16" name="Dok_Betaling">
    <vt:lpwstr/>
  </op:property>
  <op:property fmtid="{D5CDD505-2E9C-101B-9397-08002B2CF9AE}" pid="17" name="Dok_PrisGruppe">
    <vt:lpwstr/>
  </op:property>
  <op:property fmtid="{D5CDD505-2E9C-101B-9397-08002B2CF9AE}" pid="18" name="Dok_AfleveringsPligt">
    <vt:lpwstr/>
  </op:property>
  <op:property fmtid="{D5CDD505-2E9C-101B-9397-08002B2CF9AE}" pid="19" name="Dok_RapportNr">
    <vt:lpwstr/>
  </op:property>
  <op:property fmtid="{D5CDD505-2E9C-101B-9397-08002B2CF9AE}" pid="20" name="Dok_Rekvirent">
    <vt:lpwstr/>
  </op:property>
  <op:property fmtid="{D5CDD505-2E9C-101B-9397-08002B2CF9AE}" pid="21" name="Dok_Udgave">
    <vt:lpwstr/>
  </op:property>
  <op:property fmtid="{D5CDD505-2E9C-101B-9397-08002B2CF9AE}" pid="22" name="Dok_Klasse">
    <vt:lpwstr/>
  </op:property>
  <op:property fmtid="{D5CDD505-2E9C-101B-9397-08002B2CF9AE}" pid="23" name="Dok_KontraktAftalePart">
    <vt:lpwstr/>
  </op:property>
  <op:property fmtid="{D5CDD505-2E9C-101B-9397-08002B2CF9AE}" pid="24" name="Dok_InformationsNr">
    <vt:lpwstr/>
  </op:property>
  <op:property fmtid="{D5CDD505-2E9C-101B-9397-08002B2CF9AE}" pid="25" name="Dok_IndholdsType">
    <vt:lpwstr/>
  </op:property>
  <op:property fmtid="{D5CDD505-2E9C-101B-9397-08002B2CF9AE}" pid="26" name="Dok_PunktNr">
    <vt:lpwstr/>
  </op:property>
  <op:property fmtid="{D5CDD505-2E9C-101B-9397-08002B2CF9AE}" pid="27" name="Dok_DokumentDateret">
    <vt:lpwstr>26-06-2020</vt:lpwstr>
  </op:property>
  <op:property fmtid="{D5CDD505-2E9C-101B-9397-08002B2CF9AE}" pid="28" name="Dok_Opfølgningsdato">
    <vt:lpwstr/>
  </op:property>
  <op:property fmtid="{D5CDD505-2E9C-101B-9397-08002B2CF9AE}" pid="29" name="Dok_UdløbsDato">
    <vt:lpwstr/>
  </op:property>
  <op:property fmtid="{D5CDD505-2E9C-101B-9397-08002B2CF9AE}" pid="30" name="Dok_MedAnsvarligFuldeNavn">
    <vt:lpwstr/>
  </op:property>
  <op:property fmtid="{D5CDD505-2E9C-101B-9397-08002B2CF9AE}" pid="31" name="Dok_MedAnsvarligInitialer">
    <vt:lpwstr/>
  </op:property>
  <op:property fmtid="{D5CDD505-2E9C-101B-9397-08002B2CF9AE}" pid="32" name="Dok_DokumentVersion">
    <vt:lpwstr>4.0</vt:lpwstr>
  </op:property>
  <op:property fmtid="{D5CDD505-2E9C-101B-9397-08002B2CF9AE}" pid="33" name="Sag_SagsNummer">
    <vt:lpwstr>s2020-662</vt:lpwstr>
  </op:property>
  <op:property fmtid="{D5CDD505-2E9C-101B-9397-08002B2CF9AE}" pid="34" name="Sag_SagsTitel">
    <vt:lpwstr>Engelsk version</vt:lpwstr>
  </op:property>
  <op:property fmtid="{D5CDD505-2E9C-101B-9397-08002B2CF9AE}" pid="35" name="Sag_SagsAnsvarligFuldeNavn">
    <vt:lpwstr>Louise Jakobsen</vt:lpwstr>
  </op:property>
  <op:property fmtid="{D5CDD505-2E9C-101B-9397-08002B2CF9AE}" pid="36" name="Sag_SagsAnsvarligInitialet">
    <vt:lpwstr>LJA</vt:lpwstr>
  </op:property>
  <op:property fmtid="{D5CDD505-2E9C-101B-9397-08002B2CF9AE}" pid="37" name="Sag_SagsAnsvarligEmail">
    <vt:lpwstr>lja@danskenergi.dk</vt:lpwstr>
  </op:property>
  <op:property fmtid="{D5CDD505-2E9C-101B-9397-08002B2CF9AE}" pid="38" name="Sag_SagsAnsvarligTelefon">
    <vt:lpwstr>+45 20 90 77 78</vt:lpwstr>
  </op:property>
  <op:property fmtid="{D5CDD505-2E9C-101B-9397-08002B2CF9AE}" pid="39" name="Sag_MødeDato">
    <vt:lpwstr/>
  </op:property>
  <op:property fmtid="{D5CDD505-2E9C-101B-9397-08002B2CF9AE}" pid="40" name="Sag_DeadlineForSagsfremstilling">
    <vt:lpwstr/>
  </op:property>
  <op:property fmtid="{D5CDD505-2E9C-101B-9397-08002B2CF9AE}" pid="41" name="Sag_ArbejdsGruppe">
    <vt:lpwstr/>
  </op:property>
  <op:property fmtid="{D5CDD505-2E9C-101B-9397-08002B2CF9AE}" pid="42" name="Sag_BestyrelsesNavn">
    <vt:lpwstr/>
  </op:property>
  <op:property fmtid="{D5CDD505-2E9C-101B-9397-08002B2CF9AE}" pid="43" name="Sag_OpstartsDato">
    <vt:lpwstr/>
  </op:property>
  <op:property fmtid="{D5CDD505-2E9C-101B-9397-08002B2CF9AE}" pid="44" name="Sag_UdsendelseDato">
    <vt:lpwstr/>
  </op:property>
  <op:property fmtid="{D5CDD505-2E9C-101B-9397-08002B2CF9AE}" pid="45" name="Sag_UdvalgsNavn">
    <vt:lpwstr/>
  </op:property>
  <op:property fmtid="{D5CDD505-2E9C-101B-9397-08002B2CF9AE}" pid="46" name="Sag_EjendomsNr">
    <vt:lpwstr/>
  </op:property>
  <op:property fmtid="{D5CDD505-2E9C-101B-9397-08002B2CF9AE}" pid="47" name="Sag_MatrikelNr">
    <vt:lpwstr/>
  </op:property>
  <op:property fmtid="{D5CDD505-2E9C-101B-9397-08002B2CF9AE}" pid="48" name="Sag_ØkonomiNr">
    <vt:lpwstr/>
  </op:property>
  <op:property fmtid="{D5CDD505-2E9C-101B-9397-08002B2CF9AE}" pid="49" name="Sag_Finansiering">
    <vt:lpwstr/>
  </op:property>
  <op:property fmtid="{D5CDD505-2E9C-101B-9397-08002B2CF9AE}" pid="50" name="Sag_MødeDatoLangFormat">
    <vt:lpwstr/>
  </op:property>
  <op:property fmtid="{D5CDD505-2E9C-101B-9397-08002B2CF9AE}" pid="51" name="Comments">
    <vt:lpwstr/>
  </op:property>
</op:Properties>
</file>